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7A5F" w14:textId="00EE4672" w:rsidR="00613EFC" w:rsidRDefault="00613EFC" w:rsidP="00E203C2">
      <w:pPr>
        <w:rPr>
          <w:color w:val="FF0000"/>
        </w:rPr>
      </w:pPr>
    </w:p>
    <w:p w14:paraId="313A5C98" w14:textId="1F4E2526" w:rsidR="00E203C2" w:rsidRDefault="00E203C2" w:rsidP="00E203C2">
      <w:pPr>
        <w:rPr>
          <w:color w:val="FF0000"/>
        </w:rPr>
      </w:pPr>
      <w:r w:rsidRPr="00EA2C70">
        <w:rPr>
          <w:noProof/>
          <w:color w:val="FF0000"/>
          <w:lang w:eastAsia="en-GB" w:bidi="ar-SA"/>
        </w:rPr>
        <w:drawing>
          <wp:inline distT="0" distB="0" distL="0" distR="0" wp14:anchorId="4A2E7454" wp14:editId="2AA9F74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B9554D5" w14:textId="7D61DE4A" w:rsidR="00613EFC" w:rsidRPr="00EA2C70" w:rsidRDefault="00613EFC" w:rsidP="00E203C2">
      <w:pPr>
        <w:rPr>
          <w:color w:val="FF0000"/>
        </w:rPr>
      </w:pPr>
    </w:p>
    <w:p w14:paraId="26FF0890" w14:textId="2F777C5E" w:rsidR="00E203C2" w:rsidRPr="00EA2C70" w:rsidRDefault="00E203C2" w:rsidP="00E203C2">
      <w:pPr>
        <w:rPr>
          <w:color w:val="FF0000"/>
        </w:rPr>
      </w:pPr>
    </w:p>
    <w:p w14:paraId="4ED119A4" w14:textId="16A76611" w:rsidR="00613EFC" w:rsidRPr="007A0F9B" w:rsidRDefault="007A0F9B" w:rsidP="00613EFC">
      <w:pPr>
        <w:rPr>
          <w:b/>
          <w:sz w:val="28"/>
          <w:szCs w:val="28"/>
        </w:rPr>
      </w:pPr>
      <w:bookmarkStart w:id="0" w:name="_GoBack"/>
      <w:r w:rsidRPr="007A0F9B">
        <w:rPr>
          <w:b/>
          <w:sz w:val="28"/>
          <w:szCs w:val="28"/>
        </w:rPr>
        <w:t>16 June 2022</w:t>
      </w:r>
    </w:p>
    <w:p w14:paraId="46D17E5F" w14:textId="34FA9F2C" w:rsidR="00613EFC" w:rsidRPr="007A0F9B" w:rsidRDefault="007A0F9B" w:rsidP="00613EFC">
      <w:pPr>
        <w:rPr>
          <w:b/>
          <w:sz w:val="28"/>
          <w:szCs w:val="28"/>
        </w:rPr>
      </w:pPr>
      <w:r w:rsidRPr="007A0F9B">
        <w:rPr>
          <w:b/>
          <w:sz w:val="28"/>
          <w:szCs w:val="28"/>
        </w:rPr>
        <w:t>205-22</w:t>
      </w:r>
    </w:p>
    <w:bookmarkEnd w:id="0"/>
    <w:p w14:paraId="0CD668BB" w14:textId="6C9EECAA" w:rsidR="0057615C" w:rsidRPr="00EA2C70" w:rsidRDefault="0057615C" w:rsidP="00690206">
      <w:pPr>
        <w:pStyle w:val="FSTitle"/>
        <w:rPr>
          <w:b/>
          <w:color w:val="FF0000"/>
          <w:sz w:val="22"/>
        </w:rPr>
      </w:pPr>
    </w:p>
    <w:p w14:paraId="187C86CF" w14:textId="047D59FB" w:rsidR="00092CDA" w:rsidRPr="00A92B6C" w:rsidRDefault="00092CDA" w:rsidP="00690206">
      <w:pPr>
        <w:pStyle w:val="FSTitle"/>
        <w:rPr>
          <w:b/>
        </w:rPr>
      </w:pPr>
      <w:r w:rsidRPr="00A92B6C">
        <w:rPr>
          <w:b/>
        </w:rPr>
        <w:t>S</w:t>
      </w:r>
      <w:r w:rsidR="00B12F1E" w:rsidRPr="00A92B6C">
        <w:rPr>
          <w:b/>
        </w:rPr>
        <w:t>upporting document</w:t>
      </w:r>
    </w:p>
    <w:p w14:paraId="7C4C6180" w14:textId="77777777" w:rsidR="00BA24E2" w:rsidRPr="00A92B6C" w:rsidRDefault="00BA24E2" w:rsidP="00E203C2"/>
    <w:p w14:paraId="02E81F6B" w14:textId="6781EBCD" w:rsidR="00AF0509" w:rsidRPr="009C6AFF" w:rsidRDefault="007C7665" w:rsidP="00AF0509">
      <w:pPr>
        <w:pStyle w:val="FSTitle"/>
      </w:pPr>
      <w:r>
        <w:t xml:space="preserve">Risk and </w:t>
      </w:r>
      <w:r w:rsidR="009C6AFF" w:rsidRPr="009C6AFF">
        <w:t>T</w:t>
      </w:r>
      <w:r w:rsidR="008A7AF9" w:rsidRPr="009C6AFF">
        <w:t xml:space="preserve">echnical </w:t>
      </w:r>
      <w:r w:rsidR="00224098" w:rsidRPr="009C6AFF">
        <w:t>Assessment</w:t>
      </w:r>
      <w:r w:rsidR="009C6AFF" w:rsidRPr="009C6AFF">
        <w:t xml:space="preserve"> – A1219</w:t>
      </w:r>
    </w:p>
    <w:p w14:paraId="1E09FD7A" w14:textId="706EAAC1" w:rsidR="00AF0509" w:rsidRPr="00A92B6C" w:rsidRDefault="00AF0509" w:rsidP="00AF0509">
      <w:pPr>
        <w:pStyle w:val="FSTitle"/>
      </w:pPr>
    </w:p>
    <w:p w14:paraId="54D25E41" w14:textId="7535B5EF" w:rsidR="00250F95" w:rsidRPr="00A92B6C" w:rsidRDefault="00E73FE4" w:rsidP="00613EFC">
      <w:pPr>
        <w:widowControl/>
        <w:tabs>
          <w:tab w:val="left" w:pos="7037"/>
        </w:tabs>
        <w:rPr>
          <w:rFonts w:cs="Arial"/>
          <w:bCs/>
          <w:sz w:val="32"/>
          <w:szCs w:val="32"/>
          <w:lang w:bidi="ar-SA"/>
        </w:rPr>
      </w:pPr>
      <w:r w:rsidRPr="00A92B6C">
        <w:rPr>
          <w:bCs/>
          <w:iCs/>
          <w:sz w:val="32"/>
          <w:szCs w:val="32"/>
          <w:lang w:bidi="ar-SA"/>
        </w:rPr>
        <w:t>A</w:t>
      </w:r>
      <w:r w:rsidR="001909F9">
        <w:rPr>
          <w:bCs/>
          <w:iCs/>
          <w:sz w:val="32"/>
          <w:szCs w:val="32"/>
          <w:lang w:bidi="ar-SA"/>
        </w:rPr>
        <w:t>lpha-</w:t>
      </w:r>
      <w:r w:rsidR="00250F95" w:rsidRPr="00A92B6C">
        <w:rPr>
          <w:bCs/>
          <w:iCs/>
          <w:sz w:val="32"/>
          <w:szCs w:val="32"/>
          <w:lang w:bidi="ar-SA"/>
        </w:rPr>
        <w:t xml:space="preserve">amylase from GM </w:t>
      </w:r>
      <w:r w:rsidRPr="00A92B6C">
        <w:rPr>
          <w:bCs/>
          <w:i/>
          <w:iCs/>
          <w:sz w:val="32"/>
          <w:szCs w:val="32"/>
          <w:lang w:bidi="ar-SA"/>
        </w:rPr>
        <w:t>Bacillus licheniformis</w:t>
      </w:r>
      <w:r w:rsidR="001909F9">
        <w:rPr>
          <w:bCs/>
          <w:i/>
          <w:iCs/>
          <w:sz w:val="32"/>
          <w:szCs w:val="32"/>
          <w:lang w:bidi="ar-SA"/>
        </w:rPr>
        <w:t xml:space="preserve"> </w:t>
      </w:r>
      <w:r w:rsidR="001909F9">
        <w:rPr>
          <w:bCs/>
          <w:iCs/>
          <w:sz w:val="32"/>
          <w:szCs w:val="32"/>
          <w:lang w:bidi="ar-SA"/>
        </w:rPr>
        <w:t>as a processing aid</w:t>
      </w:r>
    </w:p>
    <w:p w14:paraId="09B71F9F" w14:textId="77777777" w:rsidR="007B1854" w:rsidRPr="00A92B6C" w:rsidRDefault="007B1854" w:rsidP="00E203C2">
      <w:pPr>
        <w:pBdr>
          <w:bottom w:val="single" w:sz="12" w:space="1" w:color="auto"/>
        </w:pBdr>
        <w:spacing w:line="280" w:lineRule="exact"/>
        <w:rPr>
          <w:rFonts w:cs="Arial"/>
          <w:bCs/>
        </w:rPr>
      </w:pPr>
    </w:p>
    <w:p w14:paraId="41D056D3" w14:textId="77777777" w:rsidR="00E203C2" w:rsidRPr="00A92B6C" w:rsidRDefault="00E203C2" w:rsidP="00E203C2"/>
    <w:p w14:paraId="709FABD9" w14:textId="67953F8F" w:rsidR="00092CDA" w:rsidRDefault="00092CDA" w:rsidP="00352CF2">
      <w:pPr>
        <w:pStyle w:val="Heading1"/>
        <w:spacing w:before="0"/>
      </w:pPr>
      <w:bookmarkStart w:id="1" w:name="_Toc286391001"/>
      <w:bookmarkStart w:id="2" w:name="_Toc300933414"/>
      <w:bookmarkStart w:id="3" w:name="_Toc98407515"/>
      <w:bookmarkStart w:id="4" w:name="_Toc103064634"/>
      <w:r w:rsidRPr="00A92B6C">
        <w:t xml:space="preserve">Executive </w:t>
      </w:r>
      <w:r w:rsidR="00B12F1E" w:rsidRPr="00A92B6C">
        <w:t>s</w:t>
      </w:r>
      <w:r w:rsidRPr="00A92B6C">
        <w:t>ummary</w:t>
      </w:r>
      <w:bookmarkEnd w:id="1"/>
      <w:bookmarkEnd w:id="2"/>
      <w:bookmarkEnd w:id="3"/>
      <w:bookmarkEnd w:id="4"/>
    </w:p>
    <w:p w14:paraId="0B7FBA6D" w14:textId="1A6F74AB" w:rsidR="003F77E2" w:rsidRPr="0071214E" w:rsidRDefault="003F77E2" w:rsidP="003F77E2">
      <w:r>
        <w:rPr>
          <w:lang w:bidi="ar-SA"/>
        </w:rPr>
        <w:t xml:space="preserve">Danisco New Zealand Limited (Danisco) applied to Food Standards Australia New Zealand (FSANZ) to amend the Australia New Zealand Food Standards Code </w:t>
      </w:r>
      <w:r w:rsidR="00314403">
        <w:rPr>
          <w:lang w:bidi="ar-SA"/>
        </w:rPr>
        <w:t xml:space="preserve">(the Code) </w:t>
      </w:r>
      <w:r>
        <w:rPr>
          <w:lang w:bidi="ar-SA"/>
        </w:rPr>
        <w:t xml:space="preserve">to </w:t>
      </w:r>
      <w:r w:rsidRPr="00025BCB">
        <w:rPr>
          <w:lang w:bidi="ar-SA"/>
        </w:rPr>
        <w:t xml:space="preserve">permit the use of </w:t>
      </w:r>
      <w:r>
        <w:rPr>
          <w:lang w:bidi="ar-SA"/>
        </w:rPr>
        <w:t>a</w:t>
      </w:r>
      <w:r w:rsidRPr="00025BCB">
        <w:rPr>
          <w:lang w:bidi="ar-SA"/>
        </w:rPr>
        <w:t xml:space="preserve">lpha-amylase </w:t>
      </w:r>
      <w:r w:rsidR="00D3520C">
        <w:rPr>
          <w:lang w:bidi="ar-SA"/>
        </w:rPr>
        <w:t>produced by</w:t>
      </w:r>
      <w:r w:rsidRPr="00025BCB">
        <w:rPr>
          <w:lang w:bidi="ar-SA"/>
        </w:rPr>
        <w:t xml:space="preserve"> </w:t>
      </w:r>
      <w:r w:rsidR="00D3520C">
        <w:rPr>
          <w:lang w:bidi="ar-SA"/>
        </w:rPr>
        <w:t xml:space="preserve">a </w:t>
      </w:r>
      <w:r>
        <w:rPr>
          <w:lang w:bidi="ar-SA"/>
        </w:rPr>
        <w:t>genetically modified (</w:t>
      </w:r>
      <w:r w:rsidRPr="00025BCB">
        <w:rPr>
          <w:lang w:bidi="ar-SA"/>
        </w:rPr>
        <w:t>GM</w:t>
      </w:r>
      <w:r>
        <w:rPr>
          <w:lang w:bidi="ar-SA"/>
        </w:rPr>
        <w:t>)</w:t>
      </w:r>
      <w:r w:rsidRPr="00025BCB">
        <w:rPr>
          <w:lang w:bidi="ar-SA"/>
        </w:rPr>
        <w:t xml:space="preserve"> </w:t>
      </w:r>
      <w:r w:rsidRPr="00025BCB">
        <w:rPr>
          <w:i/>
          <w:lang w:bidi="ar-SA"/>
        </w:rPr>
        <w:t>Bacillus licheniformis</w:t>
      </w:r>
      <w:r w:rsidRPr="00025BCB">
        <w:rPr>
          <w:lang w:bidi="ar-SA"/>
        </w:rPr>
        <w:t xml:space="preserve"> </w:t>
      </w:r>
      <w:r w:rsidR="00D3520C">
        <w:rPr>
          <w:lang w:bidi="ar-SA"/>
        </w:rPr>
        <w:t xml:space="preserve">strain </w:t>
      </w:r>
      <w:r w:rsidR="008A1F77">
        <w:rPr>
          <w:lang w:bidi="ar-SA"/>
        </w:rPr>
        <w:t xml:space="preserve">M1584 </w:t>
      </w:r>
      <w:r w:rsidRPr="00025BCB">
        <w:rPr>
          <w:lang w:bidi="ar-SA"/>
        </w:rPr>
        <w:t>as an enzyme processing aid</w:t>
      </w:r>
      <w:r>
        <w:rPr>
          <w:lang w:bidi="ar-SA"/>
        </w:rPr>
        <w:t xml:space="preserve">. </w:t>
      </w:r>
      <w:r>
        <w:t xml:space="preserve">The alpha-amylase enzyme is produced by submerged fermentation of </w:t>
      </w:r>
      <w:r w:rsidR="00D3520C">
        <w:t xml:space="preserve">the </w:t>
      </w:r>
      <w:r w:rsidRPr="00E91694">
        <w:rPr>
          <w:i/>
        </w:rPr>
        <w:t>B. licheniformis</w:t>
      </w:r>
      <w:r w:rsidR="00D3520C">
        <w:t xml:space="preserve"> strain</w:t>
      </w:r>
      <w:r>
        <w:t xml:space="preserve"> carrying the alpha-amylase gene </w:t>
      </w:r>
      <w:r w:rsidR="00D3520C">
        <w:t>originat</w:t>
      </w:r>
      <w:r w:rsidR="00FF242D">
        <w:t>ing</w:t>
      </w:r>
      <w:r w:rsidR="00D3520C">
        <w:t xml:space="preserve"> </w:t>
      </w:r>
      <w:r>
        <w:t xml:space="preserve">from </w:t>
      </w:r>
      <w:r w:rsidR="00D3520C">
        <w:t xml:space="preserve">an isolate of </w:t>
      </w:r>
      <w:r w:rsidRPr="00E91694">
        <w:rPr>
          <w:i/>
        </w:rPr>
        <w:t xml:space="preserve">Cytophaga </w:t>
      </w:r>
      <w:r>
        <w:t xml:space="preserve">species </w:t>
      </w:r>
      <w:r w:rsidRPr="00E91694">
        <w:t xml:space="preserve">(sp.). </w:t>
      </w:r>
    </w:p>
    <w:p w14:paraId="3F3A733F" w14:textId="45E990F1" w:rsidR="0080116F" w:rsidRDefault="0080116F" w:rsidP="0080116F">
      <w:pPr>
        <w:rPr>
          <w:lang w:bidi="ar-SA"/>
        </w:rPr>
      </w:pPr>
    </w:p>
    <w:p w14:paraId="2C6A425F" w14:textId="05073617" w:rsidR="003F77E2" w:rsidRDefault="003F77E2" w:rsidP="0080116F">
      <w:pPr>
        <w:rPr>
          <w:lang w:bidi="ar-SA"/>
        </w:rPr>
      </w:pPr>
      <w:r w:rsidRPr="003F77E2">
        <w:rPr>
          <w:lang w:bidi="ar-SA"/>
        </w:rPr>
        <w:t>FSANZ has undertaken an assessment to determine whether the enzyme achieves its technological purpose in the quantity and form proposed to be used and to evaluate public health and safety concerns that may arise from the use of this enzyme.</w:t>
      </w:r>
    </w:p>
    <w:p w14:paraId="272C5962" w14:textId="321A4F5D" w:rsidR="0080116F" w:rsidRDefault="0080116F" w:rsidP="0080116F">
      <w:pPr>
        <w:rPr>
          <w:lang w:bidi="ar-SA"/>
        </w:rPr>
      </w:pPr>
    </w:p>
    <w:p w14:paraId="7CEADFC8" w14:textId="12569849" w:rsidR="003F77E2" w:rsidRDefault="003F77E2" w:rsidP="003F77E2">
      <w:pPr>
        <w:rPr>
          <w:lang w:bidi="ar-SA"/>
        </w:rPr>
      </w:pPr>
      <w:r>
        <w:rPr>
          <w:lang w:bidi="ar-SA"/>
        </w:rPr>
        <w:t xml:space="preserve">FSANZ concludes that the proposed use of this alpha-amylase as an enzyme in starch processing, brewing of beverages and production of potable alcohol is consistent with its typical function of catalysing the hydrolysis of starch. Analysis of the evidence provides adequate assurance that the proposed use of the enzyme, at a level not higher than necessary to achieve the desired enzyme reaction </w:t>
      </w:r>
      <w:r w:rsidR="00164D4E">
        <w:rPr>
          <w:lang w:bidi="ar-SA"/>
        </w:rPr>
        <w:t>under</w:t>
      </w:r>
      <w:r>
        <w:rPr>
          <w:lang w:bidi="ar-SA"/>
        </w:rPr>
        <w:t xml:space="preserve"> </w:t>
      </w:r>
      <w:r w:rsidR="00340237">
        <w:rPr>
          <w:lang w:bidi="ar-SA"/>
        </w:rPr>
        <w:t>Good Manufacturing Practice (</w:t>
      </w:r>
      <w:r>
        <w:rPr>
          <w:lang w:bidi="ar-SA"/>
        </w:rPr>
        <w:t>GMP</w:t>
      </w:r>
      <w:r w:rsidR="00340237">
        <w:rPr>
          <w:lang w:bidi="ar-SA"/>
        </w:rPr>
        <w:t>)</w:t>
      </w:r>
      <w:r>
        <w:rPr>
          <w:lang w:bidi="ar-SA"/>
        </w:rPr>
        <w:t xml:space="preserve">, is technologically justified. </w:t>
      </w:r>
    </w:p>
    <w:p w14:paraId="59980227" w14:textId="1B87989B" w:rsidR="003F77E2" w:rsidRDefault="003F77E2" w:rsidP="003F77E2">
      <w:pPr>
        <w:rPr>
          <w:lang w:bidi="ar-SA"/>
        </w:rPr>
      </w:pPr>
    </w:p>
    <w:p w14:paraId="06C95C04" w14:textId="09CAC703" w:rsidR="00B86669" w:rsidRDefault="003F77E2" w:rsidP="003F77E2">
      <w:pPr>
        <w:rPr>
          <w:lang w:bidi="ar-SA"/>
        </w:rPr>
      </w:pPr>
      <w:r>
        <w:rPr>
          <w:lang w:bidi="ar-SA"/>
        </w:rPr>
        <w:t>Alpha-amylase performs its technological purpose during the production of food and is not performing a technological purpose in the final food. It is therefore appropriately categorised as a processing aid as defined in the Code.</w:t>
      </w:r>
      <w:r w:rsidR="00CB6CF6">
        <w:rPr>
          <w:lang w:bidi="ar-SA"/>
        </w:rPr>
        <w:t xml:space="preserve"> </w:t>
      </w:r>
      <w:r w:rsidR="001909F9">
        <w:rPr>
          <w:lang w:bidi="ar-SA"/>
        </w:rPr>
        <w:t>There are r</w:t>
      </w:r>
      <w:r w:rsidR="008178FC" w:rsidRPr="008178FC">
        <w:rPr>
          <w:lang w:bidi="ar-SA"/>
        </w:rPr>
        <w:t xml:space="preserve">elevant identity and purity specifications for the enzyme in the Code. </w:t>
      </w:r>
    </w:p>
    <w:p w14:paraId="5276D849" w14:textId="77777777" w:rsidR="001909F9" w:rsidRDefault="001909F9" w:rsidP="003F77E2">
      <w:pPr>
        <w:rPr>
          <w:lang w:bidi="ar-SA"/>
        </w:rPr>
      </w:pPr>
    </w:p>
    <w:p w14:paraId="1C4A87D2" w14:textId="3086C7E6" w:rsidR="00B86669" w:rsidRPr="0080116F" w:rsidRDefault="00B86669" w:rsidP="00B86669">
      <w:pPr>
        <w:rPr>
          <w:lang w:bidi="ar-SA"/>
        </w:rPr>
      </w:pPr>
      <w:r w:rsidRPr="00B44780">
        <w:rPr>
          <w:lang w:val="en-AU"/>
        </w:rPr>
        <w:t xml:space="preserve">No public health and safety concerns were identified in the </w:t>
      </w:r>
      <w:r w:rsidRPr="00C65C9A">
        <w:rPr>
          <w:lang w:val="en-AU"/>
        </w:rPr>
        <w:t xml:space="preserve">assessment of </w:t>
      </w:r>
      <w:r>
        <w:rPr>
          <w:lang w:val="en-AU" w:eastAsia="en-AU" w:bidi="ar-SA"/>
        </w:rPr>
        <w:t>alpha-</w:t>
      </w:r>
      <w:r w:rsidRPr="00C65C9A">
        <w:rPr>
          <w:lang w:val="en-AU" w:eastAsia="en-AU" w:bidi="ar-SA"/>
        </w:rPr>
        <w:t xml:space="preserve">amylase </w:t>
      </w:r>
      <w:r w:rsidR="008A1F77">
        <w:rPr>
          <w:lang w:val="en-AU" w:eastAsia="en-AU" w:bidi="ar-SA"/>
        </w:rPr>
        <w:t>produced by this</w:t>
      </w:r>
      <w:r w:rsidRPr="00C65C9A">
        <w:rPr>
          <w:lang w:val="en-AU" w:eastAsia="en-AU" w:bidi="ar-SA"/>
        </w:rPr>
        <w:t xml:space="preserve"> </w:t>
      </w:r>
      <w:r>
        <w:rPr>
          <w:lang w:val="en-AU" w:eastAsia="en-AU" w:bidi="ar-SA"/>
        </w:rPr>
        <w:t>GM</w:t>
      </w:r>
      <w:r w:rsidRPr="00C65C9A">
        <w:rPr>
          <w:lang w:val="en-AU"/>
        </w:rPr>
        <w:t xml:space="preserve"> </w:t>
      </w:r>
      <w:r>
        <w:rPr>
          <w:i/>
          <w:lang w:val="en-AU"/>
        </w:rPr>
        <w:t>B</w:t>
      </w:r>
      <w:r w:rsidRPr="00C65C9A">
        <w:rPr>
          <w:i/>
          <w:lang w:val="en-AU"/>
        </w:rPr>
        <w:t xml:space="preserve">. </w:t>
      </w:r>
      <w:r>
        <w:rPr>
          <w:i/>
          <w:lang w:val="en-AU"/>
        </w:rPr>
        <w:t>licheniformis</w:t>
      </w:r>
      <w:r w:rsidRPr="00C65C9A">
        <w:rPr>
          <w:lang w:val="en-AU"/>
        </w:rPr>
        <w:t xml:space="preserve"> </w:t>
      </w:r>
      <w:r w:rsidR="008A1F77">
        <w:rPr>
          <w:lang w:val="en-AU"/>
        </w:rPr>
        <w:t xml:space="preserve">strain </w:t>
      </w:r>
      <w:r w:rsidR="00462C09" w:rsidRPr="00462C09">
        <w:rPr>
          <w:lang w:val="en-AU"/>
        </w:rPr>
        <w:t>JML</w:t>
      </w:r>
      <w:r w:rsidR="008A1F77" w:rsidRPr="00462C09">
        <w:rPr>
          <w:lang w:val="en-AU"/>
        </w:rPr>
        <w:t xml:space="preserve">1584 </w:t>
      </w:r>
      <w:r w:rsidRPr="00462C09">
        <w:rPr>
          <w:lang w:val="en-AU"/>
        </w:rPr>
        <w:t xml:space="preserve">under the proposed use conditions. </w:t>
      </w:r>
      <w:r w:rsidR="008A1F77" w:rsidRPr="00462C09">
        <w:rPr>
          <w:lang w:bidi="ar-SA"/>
        </w:rPr>
        <w:t xml:space="preserve">The host organism </w:t>
      </w:r>
      <w:r w:rsidR="008A1F77" w:rsidRPr="00462C09">
        <w:rPr>
          <w:i/>
          <w:lang w:bidi="ar-SA"/>
        </w:rPr>
        <w:t xml:space="preserve">B. </w:t>
      </w:r>
      <w:r w:rsidR="00255D24" w:rsidRPr="00462C09">
        <w:rPr>
          <w:i/>
          <w:lang w:bidi="ar-SA"/>
        </w:rPr>
        <w:t>licheniformis</w:t>
      </w:r>
      <w:r w:rsidR="00255D24" w:rsidRPr="00462C09">
        <w:rPr>
          <w:lang w:bidi="ar-SA"/>
        </w:rPr>
        <w:t xml:space="preserve"> </w:t>
      </w:r>
      <w:r w:rsidR="008A1F77" w:rsidRPr="00462C09">
        <w:rPr>
          <w:lang w:bidi="ar-SA"/>
        </w:rPr>
        <w:t xml:space="preserve">Bra7 from which </w:t>
      </w:r>
      <w:r w:rsidR="008A1F77" w:rsidRPr="00462C09">
        <w:rPr>
          <w:i/>
          <w:lang w:bidi="ar-SA"/>
        </w:rPr>
        <w:t>B. licheniformis</w:t>
      </w:r>
      <w:r w:rsidR="008A1F77" w:rsidRPr="00462C09">
        <w:rPr>
          <w:lang w:bidi="ar-SA"/>
        </w:rPr>
        <w:t xml:space="preserve"> </w:t>
      </w:r>
      <w:r w:rsidR="00462C09" w:rsidRPr="00462C09">
        <w:rPr>
          <w:lang w:bidi="ar-SA"/>
        </w:rPr>
        <w:t>J</w:t>
      </w:r>
      <w:r w:rsidR="008A1F77" w:rsidRPr="00462C09">
        <w:rPr>
          <w:lang w:bidi="ar-SA"/>
        </w:rPr>
        <w:t>M</w:t>
      </w:r>
      <w:r w:rsidR="00462C09" w:rsidRPr="00462C09">
        <w:rPr>
          <w:lang w:bidi="ar-SA"/>
        </w:rPr>
        <w:t>L</w:t>
      </w:r>
      <w:r w:rsidR="008A1F77" w:rsidRPr="00462C09">
        <w:rPr>
          <w:lang w:bidi="ar-SA"/>
        </w:rPr>
        <w:t>1584</w:t>
      </w:r>
      <w:r w:rsidR="008A1F77">
        <w:rPr>
          <w:lang w:bidi="ar-SA"/>
        </w:rPr>
        <w:t xml:space="preserve"> was derived</w:t>
      </w:r>
      <w:r w:rsidR="00FD5B4C">
        <w:rPr>
          <w:lang w:bidi="ar-SA"/>
        </w:rPr>
        <w:t>,</w:t>
      </w:r>
      <w:r w:rsidR="008178FC">
        <w:rPr>
          <w:lang w:bidi="ar-SA"/>
        </w:rPr>
        <w:t xml:space="preserve"> </w:t>
      </w:r>
      <w:r w:rsidR="00FD5B4C">
        <w:rPr>
          <w:lang w:bidi="ar-SA"/>
        </w:rPr>
        <w:t>is neither pathogenic nor toxigenic and</w:t>
      </w:r>
      <w:r w:rsidR="008178FC">
        <w:rPr>
          <w:lang w:bidi="ar-SA"/>
        </w:rPr>
        <w:t xml:space="preserve"> </w:t>
      </w:r>
      <w:r w:rsidR="008A1F77">
        <w:rPr>
          <w:lang w:bidi="ar-SA"/>
        </w:rPr>
        <w:t>has a long history of safe use in food</w:t>
      </w:r>
      <w:r w:rsidR="00FD5B4C">
        <w:rPr>
          <w:lang w:bidi="ar-SA"/>
        </w:rPr>
        <w:t>. A</w:t>
      </w:r>
      <w:r w:rsidR="00255D24">
        <w:rPr>
          <w:lang w:bidi="ar-SA"/>
        </w:rPr>
        <w:t xml:space="preserve">nalysis of the modified production strain confirmed the presence and stability of the inserted DNA. </w:t>
      </w:r>
    </w:p>
    <w:p w14:paraId="5CBA40E2" w14:textId="6B5E50B1" w:rsidR="00B86669" w:rsidRPr="00C65C9A" w:rsidRDefault="00B86669" w:rsidP="00B86669">
      <w:pPr>
        <w:rPr>
          <w:lang w:val="en-AU"/>
        </w:rPr>
      </w:pPr>
    </w:p>
    <w:p w14:paraId="5E0BB098" w14:textId="67B4A620" w:rsidR="00B86669" w:rsidRDefault="00B86669" w:rsidP="00B86669">
      <w:pPr>
        <w:rPr>
          <w:lang w:val="en-AU"/>
        </w:rPr>
      </w:pPr>
      <w:r>
        <w:rPr>
          <w:lang w:val="en-AU"/>
        </w:rPr>
        <w:t>Toxicity testing</w:t>
      </w:r>
      <w:r w:rsidRPr="00B44780">
        <w:rPr>
          <w:lang w:val="en-AU"/>
        </w:rPr>
        <w:t xml:space="preserve"> of the enzyme showed no evidence of genotoxicity </w:t>
      </w:r>
      <w:r w:rsidRPr="00B44780">
        <w:rPr>
          <w:i/>
          <w:lang w:val="en-AU"/>
        </w:rPr>
        <w:t>in vitro</w:t>
      </w:r>
      <w:r w:rsidRPr="00B44780">
        <w:rPr>
          <w:lang w:val="en-AU"/>
        </w:rPr>
        <w:t xml:space="preserve"> and </w:t>
      </w:r>
      <w:r>
        <w:rPr>
          <w:lang w:val="en-AU"/>
        </w:rPr>
        <w:t>t</w:t>
      </w:r>
      <w:r w:rsidRPr="00B44780">
        <w:rPr>
          <w:lang w:val="en-AU"/>
        </w:rPr>
        <w:t xml:space="preserve">he </w:t>
      </w:r>
      <w:r>
        <w:rPr>
          <w:lang w:val="en-AU"/>
        </w:rPr>
        <w:t>no observed adverse effect level (N</w:t>
      </w:r>
      <w:r w:rsidRPr="00B44780">
        <w:rPr>
          <w:lang w:val="en-AU"/>
        </w:rPr>
        <w:t>OAEL</w:t>
      </w:r>
      <w:r>
        <w:rPr>
          <w:lang w:val="en-AU"/>
        </w:rPr>
        <w:t>)</w:t>
      </w:r>
      <w:r w:rsidRPr="00B44780">
        <w:rPr>
          <w:lang w:val="en-AU"/>
        </w:rPr>
        <w:t xml:space="preserve"> in a 90-day oral gavage study in rats</w:t>
      </w:r>
      <w:r>
        <w:rPr>
          <w:lang w:val="en-AU"/>
        </w:rPr>
        <w:t xml:space="preserve"> was the highest </w:t>
      </w:r>
      <w:r>
        <w:rPr>
          <w:lang w:val="en-AU"/>
        </w:rPr>
        <w:lastRenderedPageBreak/>
        <w:t>dose tested, 500</w:t>
      </w:r>
      <w:r w:rsidRPr="00B44780">
        <w:rPr>
          <w:lang w:val="en-AU"/>
        </w:rPr>
        <w:t xml:space="preserve"> mg</w:t>
      </w:r>
      <w:r w:rsidRPr="00557D04">
        <w:rPr>
          <w:lang w:val="en-AU"/>
        </w:rPr>
        <w:t xml:space="preserve"> </w:t>
      </w:r>
      <w:r>
        <w:rPr>
          <w:lang w:val="en-AU"/>
        </w:rPr>
        <w:t>total organic solids (TOS)</w:t>
      </w:r>
      <w:r w:rsidRPr="00B44780">
        <w:rPr>
          <w:lang w:val="en-AU"/>
        </w:rPr>
        <w:t>/kg bw/day</w:t>
      </w:r>
      <w:r w:rsidRPr="00C65C9A">
        <w:rPr>
          <w:lang w:val="en-AU"/>
        </w:rPr>
        <w:t xml:space="preserve">. The </w:t>
      </w:r>
      <w:r>
        <w:rPr>
          <w:lang w:val="en-AU"/>
        </w:rPr>
        <w:t>theoretical maximum daily intake (T</w:t>
      </w:r>
      <w:r w:rsidRPr="00C65C9A">
        <w:rPr>
          <w:lang w:val="en-AU"/>
        </w:rPr>
        <w:t>MDI</w:t>
      </w:r>
      <w:r>
        <w:rPr>
          <w:lang w:val="en-AU"/>
        </w:rPr>
        <w:t>)</w:t>
      </w:r>
      <w:r w:rsidRPr="00C65C9A">
        <w:rPr>
          <w:lang w:val="en-AU"/>
        </w:rPr>
        <w:t xml:space="preserve"> was calculated to be </w:t>
      </w:r>
      <w:r>
        <w:rPr>
          <w:lang w:val="en-AU"/>
        </w:rPr>
        <w:t>up to 0</w:t>
      </w:r>
      <w:r w:rsidRPr="00C65C9A">
        <w:rPr>
          <w:lang w:val="en-AU"/>
        </w:rPr>
        <w:t>.</w:t>
      </w:r>
      <w:r>
        <w:rPr>
          <w:lang w:val="en-AU"/>
        </w:rPr>
        <w:t>79</w:t>
      </w:r>
      <w:r w:rsidRPr="00C65C9A">
        <w:rPr>
          <w:lang w:val="en-AU"/>
        </w:rPr>
        <w:t xml:space="preserve"> mg</w:t>
      </w:r>
      <w:r>
        <w:rPr>
          <w:lang w:val="en-AU"/>
        </w:rPr>
        <w:t xml:space="preserve"> TOS</w:t>
      </w:r>
      <w:r w:rsidRPr="00C65C9A">
        <w:rPr>
          <w:lang w:val="en-AU"/>
        </w:rPr>
        <w:t xml:space="preserve">/kg bw/day. Comparison of the NOAEL </w:t>
      </w:r>
      <w:r>
        <w:rPr>
          <w:lang w:val="en-AU"/>
        </w:rPr>
        <w:t>with</w:t>
      </w:r>
      <w:r w:rsidRPr="00C65C9A">
        <w:rPr>
          <w:lang w:val="en-AU"/>
        </w:rPr>
        <w:t xml:space="preserve"> the TMDI </w:t>
      </w:r>
      <w:r>
        <w:rPr>
          <w:lang w:val="en-AU"/>
        </w:rPr>
        <w:t>gives a m</w:t>
      </w:r>
      <w:r w:rsidRPr="00C65C9A">
        <w:rPr>
          <w:lang w:val="en-AU"/>
        </w:rPr>
        <w:t xml:space="preserve">argin of </w:t>
      </w:r>
      <w:r>
        <w:rPr>
          <w:lang w:val="en-AU"/>
        </w:rPr>
        <w:t>e</w:t>
      </w:r>
      <w:r w:rsidRPr="00C65C9A">
        <w:rPr>
          <w:lang w:val="en-AU"/>
        </w:rPr>
        <w:t xml:space="preserve">xposure (MOE) of </w:t>
      </w:r>
      <w:r>
        <w:rPr>
          <w:lang w:val="en-AU"/>
        </w:rPr>
        <w:t xml:space="preserve">approximately </w:t>
      </w:r>
      <w:r w:rsidR="000C183E">
        <w:rPr>
          <w:lang w:val="en-AU"/>
        </w:rPr>
        <w:t>600</w:t>
      </w:r>
      <w:r w:rsidRPr="006714B9">
        <w:rPr>
          <w:lang w:val="en-AU"/>
        </w:rPr>
        <w:t>.</w:t>
      </w:r>
    </w:p>
    <w:p w14:paraId="45FF747D" w14:textId="77777777" w:rsidR="00B86669" w:rsidRPr="006714B9" w:rsidRDefault="00B86669" w:rsidP="00B86669">
      <w:pPr>
        <w:rPr>
          <w:lang w:val="en-AU"/>
        </w:rPr>
      </w:pPr>
    </w:p>
    <w:p w14:paraId="0182AB10" w14:textId="4925660B" w:rsidR="00B86669" w:rsidRDefault="00B86669" w:rsidP="00B86669">
      <w:pPr>
        <w:rPr>
          <w:lang w:val="en-AU"/>
        </w:rPr>
      </w:pPr>
      <w:r w:rsidRPr="006714B9">
        <w:rPr>
          <w:lang w:val="en-AU"/>
        </w:rPr>
        <w:t>Bioinformatics analysis indicated that the enzyme shows no significant homology with any known toxins</w:t>
      </w:r>
      <w:r w:rsidR="007A058F">
        <w:rPr>
          <w:lang w:val="en-AU"/>
        </w:rPr>
        <w:t xml:space="preserve"> or allergens.</w:t>
      </w:r>
    </w:p>
    <w:p w14:paraId="49C93998" w14:textId="77777777" w:rsidR="00B86669" w:rsidRDefault="00B86669" w:rsidP="00B86669">
      <w:pPr>
        <w:rPr>
          <w:lang w:val="en-AU"/>
        </w:rPr>
      </w:pPr>
    </w:p>
    <w:p w14:paraId="0CE93140" w14:textId="77777777" w:rsidR="00B86669" w:rsidRPr="005F51E7" w:rsidRDefault="00B86669" w:rsidP="00B86669">
      <w:pPr>
        <w:rPr>
          <w:lang w:bidi="ar-SA"/>
        </w:rPr>
      </w:pPr>
      <w:r w:rsidRPr="00B44780">
        <w:rPr>
          <w:lang w:val="en-AU"/>
        </w:rPr>
        <w:t>Based on the reviewed data it is concluded that in the absence of any identifiable hazard an Acceptable Daily Intake (ADI) ‘not specified’ is appropriate.</w:t>
      </w:r>
    </w:p>
    <w:p w14:paraId="37E64FF7" w14:textId="77777777" w:rsidR="00B86669" w:rsidRPr="00745A88" w:rsidRDefault="00B86669" w:rsidP="003F77E2">
      <w:pPr>
        <w:rPr>
          <w:lang w:bidi="ar-SA"/>
        </w:rPr>
      </w:pPr>
    </w:p>
    <w:p w14:paraId="02F06561" w14:textId="1483A9D6" w:rsidR="0080116F" w:rsidRDefault="0080116F" w:rsidP="0080116F">
      <w:pPr>
        <w:rPr>
          <w:lang w:bidi="ar-SA"/>
        </w:rPr>
      </w:pPr>
    </w:p>
    <w:p w14:paraId="1C389F38" w14:textId="44D2B52D" w:rsidR="0080116F" w:rsidRPr="00FF242D" w:rsidRDefault="0080116F" w:rsidP="000E6DE2">
      <w:pPr>
        <w:widowControl/>
        <w:rPr>
          <w:lang w:eastAsia="en-AU"/>
        </w:rPr>
      </w:pPr>
    </w:p>
    <w:p w14:paraId="627D566A" w14:textId="77777777" w:rsidR="0080116F" w:rsidRPr="00FF242D" w:rsidRDefault="0080116F" w:rsidP="000E6DE2">
      <w:pPr>
        <w:widowControl/>
        <w:rPr>
          <w:lang w:eastAsia="en-AU"/>
        </w:rPr>
        <w:sectPr w:rsidR="0080116F" w:rsidRPr="00FF242D" w:rsidSect="0054272D">
          <w:footerReference w:type="even" r:id="rId14"/>
          <w:footerReference w:type="default" r:id="rId15"/>
          <w:headerReference w:type="first" r:id="rId16"/>
          <w:pgSz w:w="11906" w:h="16838"/>
          <w:pgMar w:top="1418" w:right="1418" w:bottom="1418" w:left="1418" w:header="709" w:footer="709" w:gutter="0"/>
          <w:pgNumType w:fmt="lowerRoman" w:start="1"/>
          <w:cols w:space="708"/>
          <w:docGrid w:linePitch="360"/>
        </w:sectPr>
      </w:pPr>
    </w:p>
    <w:p w14:paraId="06AD872C" w14:textId="77777777" w:rsidR="00562917" w:rsidRPr="00FF242D" w:rsidRDefault="00562917" w:rsidP="002A3314">
      <w:pPr>
        <w:pStyle w:val="TOCHeading"/>
        <w:rPr>
          <w:b w:val="0"/>
          <w:sz w:val="32"/>
        </w:rPr>
      </w:pPr>
      <w:r w:rsidRPr="00FF242D">
        <w:rPr>
          <w:b w:val="0"/>
          <w:sz w:val="32"/>
        </w:rPr>
        <w:lastRenderedPageBreak/>
        <w:t xml:space="preserve">Table of </w:t>
      </w:r>
      <w:r w:rsidR="00A77BFA" w:rsidRPr="00FF242D">
        <w:rPr>
          <w:b w:val="0"/>
          <w:sz w:val="32"/>
        </w:rPr>
        <w:t>c</w:t>
      </w:r>
      <w:r w:rsidRPr="00FF242D">
        <w:rPr>
          <w:b w:val="0"/>
          <w:sz w:val="32"/>
        </w:rPr>
        <w:t>ontents</w:t>
      </w:r>
    </w:p>
    <w:p w14:paraId="74FC3A04" w14:textId="072101D6" w:rsidR="00361613" w:rsidRDefault="00C77E95">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sidRPr="00FF242D">
        <w:fldChar w:fldCharType="begin"/>
      </w:r>
      <w:r w:rsidRPr="00FF242D">
        <w:instrText xml:space="preserve"> TOC \o "1-2" \h \z \u </w:instrText>
      </w:r>
      <w:r w:rsidRPr="00FF242D">
        <w:fldChar w:fldCharType="separate"/>
      </w:r>
      <w:hyperlink w:anchor="_Toc103064634" w:history="1">
        <w:r w:rsidR="00361613" w:rsidRPr="00243D06">
          <w:rPr>
            <w:rStyle w:val="Hyperlink"/>
            <w:noProof/>
          </w:rPr>
          <w:t>Executive summary</w:t>
        </w:r>
        <w:r w:rsidR="00361613">
          <w:rPr>
            <w:noProof/>
            <w:webHidden/>
          </w:rPr>
          <w:tab/>
        </w:r>
        <w:r w:rsidR="00361613">
          <w:rPr>
            <w:noProof/>
            <w:webHidden/>
          </w:rPr>
          <w:fldChar w:fldCharType="begin"/>
        </w:r>
        <w:r w:rsidR="00361613">
          <w:rPr>
            <w:noProof/>
            <w:webHidden/>
          </w:rPr>
          <w:instrText xml:space="preserve"> PAGEREF _Toc103064634 \h </w:instrText>
        </w:r>
        <w:r w:rsidR="00361613">
          <w:rPr>
            <w:noProof/>
            <w:webHidden/>
          </w:rPr>
        </w:r>
        <w:r w:rsidR="00361613">
          <w:rPr>
            <w:noProof/>
            <w:webHidden/>
          </w:rPr>
          <w:fldChar w:fldCharType="separate"/>
        </w:r>
        <w:r w:rsidR="00361613">
          <w:rPr>
            <w:noProof/>
            <w:webHidden/>
          </w:rPr>
          <w:t>i</w:t>
        </w:r>
        <w:r w:rsidR="00361613">
          <w:rPr>
            <w:noProof/>
            <w:webHidden/>
          </w:rPr>
          <w:fldChar w:fldCharType="end"/>
        </w:r>
      </w:hyperlink>
    </w:p>
    <w:p w14:paraId="0B4A9C99" w14:textId="3913BB31" w:rsidR="00361613" w:rsidRDefault="000F5124">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35" w:history="1">
        <w:r w:rsidR="00361613" w:rsidRPr="00243D06">
          <w:rPr>
            <w:rStyle w:val="Hyperlink"/>
            <w:noProof/>
          </w:rPr>
          <w:t>1</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Introduction</w:t>
        </w:r>
        <w:r w:rsidR="00361613">
          <w:rPr>
            <w:noProof/>
            <w:webHidden/>
          </w:rPr>
          <w:tab/>
        </w:r>
        <w:r w:rsidR="00361613">
          <w:rPr>
            <w:noProof/>
            <w:webHidden/>
          </w:rPr>
          <w:fldChar w:fldCharType="begin"/>
        </w:r>
        <w:r w:rsidR="00361613">
          <w:rPr>
            <w:noProof/>
            <w:webHidden/>
          </w:rPr>
          <w:instrText xml:space="preserve"> PAGEREF _Toc103064635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486657D9" w14:textId="312EC6F9"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36" w:history="1">
        <w:r w:rsidR="00361613" w:rsidRPr="00243D06">
          <w:rPr>
            <w:rStyle w:val="Hyperlink"/>
            <w:noProof/>
          </w:rPr>
          <w:t>1.1</w:t>
        </w:r>
        <w:r w:rsidR="00361613">
          <w:rPr>
            <w:rFonts w:eastAsiaTheme="minorEastAsia" w:cstheme="minorBidi"/>
            <w:smallCaps w:val="0"/>
            <w:noProof/>
            <w:sz w:val="22"/>
            <w:szCs w:val="22"/>
            <w:lang w:eastAsia="en-GB" w:bidi="ar-SA"/>
          </w:rPr>
          <w:tab/>
        </w:r>
        <w:r w:rsidR="00361613" w:rsidRPr="00243D06">
          <w:rPr>
            <w:rStyle w:val="Hyperlink"/>
            <w:noProof/>
          </w:rPr>
          <w:t>Objectives of the assessment</w:t>
        </w:r>
        <w:r w:rsidR="00361613">
          <w:rPr>
            <w:noProof/>
            <w:webHidden/>
          </w:rPr>
          <w:tab/>
        </w:r>
        <w:r w:rsidR="00361613">
          <w:rPr>
            <w:noProof/>
            <w:webHidden/>
          </w:rPr>
          <w:fldChar w:fldCharType="begin"/>
        </w:r>
        <w:r w:rsidR="00361613">
          <w:rPr>
            <w:noProof/>
            <w:webHidden/>
          </w:rPr>
          <w:instrText xml:space="preserve"> PAGEREF _Toc103064636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1944F780" w14:textId="4897296D" w:rsidR="00361613" w:rsidRDefault="000F5124">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37" w:history="1">
        <w:r w:rsidR="00361613" w:rsidRPr="00243D06">
          <w:rPr>
            <w:rStyle w:val="Hyperlink"/>
            <w:noProof/>
          </w:rPr>
          <w:t>2</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Food technology assessment</w:t>
        </w:r>
        <w:r w:rsidR="00361613">
          <w:rPr>
            <w:noProof/>
            <w:webHidden/>
          </w:rPr>
          <w:tab/>
        </w:r>
        <w:r w:rsidR="00361613">
          <w:rPr>
            <w:noProof/>
            <w:webHidden/>
          </w:rPr>
          <w:fldChar w:fldCharType="begin"/>
        </w:r>
        <w:r w:rsidR="00361613">
          <w:rPr>
            <w:noProof/>
            <w:webHidden/>
          </w:rPr>
          <w:instrText xml:space="preserve"> PAGEREF _Toc103064637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05D7B0E9" w14:textId="1EB7ACAC"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38" w:history="1">
        <w:r w:rsidR="00361613" w:rsidRPr="00243D06">
          <w:rPr>
            <w:rStyle w:val="Hyperlink"/>
            <w:noProof/>
          </w:rPr>
          <w:t>2.1</w:t>
        </w:r>
        <w:r w:rsidR="00361613">
          <w:rPr>
            <w:rFonts w:eastAsiaTheme="minorEastAsia" w:cstheme="minorBidi"/>
            <w:smallCaps w:val="0"/>
            <w:noProof/>
            <w:sz w:val="22"/>
            <w:szCs w:val="22"/>
            <w:lang w:eastAsia="en-GB" w:bidi="ar-SA"/>
          </w:rPr>
          <w:tab/>
        </w:r>
        <w:r w:rsidR="00361613" w:rsidRPr="00243D06">
          <w:rPr>
            <w:rStyle w:val="Hyperlink"/>
            <w:noProof/>
          </w:rPr>
          <w:t>Characterisation of the enzyme</w:t>
        </w:r>
        <w:r w:rsidR="00361613">
          <w:rPr>
            <w:noProof/>
            <w:webHidden/>
          </w:rPr>
          <w:tab/>
        </w:r>
        <w:r w:rsidR="00361613">
          <w:rPr>
            <w:noProof/>
            <w:webHidden/>
          </w:rPr>
          <w:fldChar w:fldCharType="begin"/>
        </w:r>
        <w:r w:rsidR="00361613">
          <w:rPr>
            <w:noProof/>
            <w:webHidden/>
          </w:rPr>
          <w:instrText xml:space="preserve"> PAGEREF _Toc103064638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3EAA9218" w14:textId="0124CA80"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39" w:history="1">
        <w:r w:rsidR="00361613" w:rsidRPr="00243D06">
          <w:rPr>
            <w:rStyle w:val="Hyperlink"/>
            <w:noProof/>
          </w:rPr>
          <w:t>2.2</w:t>
        </w:r>
        <w:r w:rsidR="00361613">
          <w:rPr>
            <w:rFonts w:eastAsiaTheme="minorEastAsia" w:cstheme="minorBidi"/>
            <w:smallCaps w:val="0"/>
            <w:noProof/>
            <w:sz w:val="22"/>
            <w:szCs w:val="22"/>
            <w:lang w:eastAsia="en-GB" w:bidi="ar-SA"/>
          </w:rPr>
          <w:tab/>
        </w:r>
        <w:r w:rsidR="00361613" w:rsidRPr="00243D06">
          <w:rPr>
            <w:rStyle w:val="Hyperlink"/>
            <w:noProof/>
          </w:rPr>
          <w:t>Manufacturing process</w:t>
        </w:r>
        <w:r w:rsidR="00361613">
          <w:rPr>
            <w:noProof/>
            <w:webHidden/>
          </w:rPr>
          <w:tab/>
        </w:r>
        <w:r w:rsidR="00361613">
          <w:rPr>
            <w:noProof/>
            <w:webHidden/>
          </w:rPr>
          <w:fldChar w:fldCharType="begin"/>
        </w:r>
        <w:r w:rsidR="00361613">
          <w:rPr>
            <w:noProof/>
            <w:webHidden/>
          </w:rPr>
          <w:instrText xml:space="preserve"> PAGEREF _Toc103064639 \h </w:instrText>
        </w:r>
        <w:r w:rsidR="00361613">
          <w:rPr>
            <w:noProof/>
            <w:webHidden/>
          </w:rPr>
        </w:r>
        <w:r w:rsidR="00361613">
          <w:rPr>
            <w:noProof/>
            <w:webHidden/>
          </w:rPr>
          <w:fldChar w:fldCharType="separate"/>
        </w:r>
        <w:r w:rsidR="00361613">
          <w:rPr>
            <w:noProof/>
            <w:webHidden/>
          </w:rPr>
          <w:t>3</w:t>
        </w:r>
        <w:r w:rsidR="00361613">
          <w:rPr>
            <w:noProof/>
            <w:webHidden/>
          </w:rPr>
          <w:fldChar w:fldCharType="end"/>
        </w:r>
      </w:hyperlink>
    </w:p>
    <w:p w14:paraId="30B36615" w14:textId="587E8063"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0" w:history="1">
        <w:r w:rsidR="00361613" w:rsidRPr="00243D06">
          <w:rPr>
            <w:rStyle w:val="Hyperlink"/>
            <w:noProof/>
          </w:rPr>
          <w:t>2.3</w:t>
        </w:r>
        <w:r w:rsidR="00361613">
          <w:rPr>
            <w:rFonts w:eastAsiaTheme="minorEastAsia" w:cstheme="minorBidi"/>
            <w:smallCaps w:val="0"/>
            <w:noProof/>
            <w:sz w:val="22"/>
            <w:szCs w:val="22"/>
            <w:lang w:eastAsia="en-GB" w:bidi="ar-SA"/>
          </w:rPr>
          <w:tab/>
        </w:r>
        <w:r w:rsidR="00361613" w:rsidRPr="00243D06">
          <w:rPr>
            <w:rStyle w:val="Hyperlink"/>
            <w:noProof/>
          </w:rPr>
          <w:t>Technological purpose of the enzyme</w:t>
        </w:r>
        <w:r w:rsidR="00361613">
          <w:rPr>
            <w:noProof/>
            <w:webHidden/>
          </w:rPr>
          <w:tab/>
        </w:r>
        <w:r w:rsidR="00361613">
          <w:rPr>
            <w:noProof/>
            <w:webHidden/>
          </w:rPr>
          <w:fldChar w:fldCharType="begin"/>
        </w:r>
        <w:r w:rsidR="00361613">
          <w:rPr>
            <w:noProof/>
            <w:webHidden/>
          </w:rPr>
          <w:instrText xml:space="preserve"> PAGEREF _Toc103064640 \h </w:instrText>
        </w:r>
        <w:r w:rsidR="00361613">
          <w:rPr>
            <w:noProof/>
            <w:webHidden/>
          </w:rPr>
        </w:r>
        <w:r w:rsidR="00361613">
          <w:rPr>
            <w:noProof/>
            <w:webHidden/>
          </w:rPr>
          <w:fldChar w:fldCharType="separate"/>
        </w:r>
        <w:r w:rsidR="00361613">
          <w:rPr>
            <w:noProof/>
            <w:webHidden/>
          </w:rPr>
          <w:t>4</w:t>
        </w:r>
        <w:r w:rsidR="00361613">
          <w:rPr>
            <w:noProof/>
            <w:webHidden/>
          </w:rPr>
          <w:fldChar w:fldCharType="end"/>
        </w:r>
      </w:hyperlink>
    </w:p>
    <w:p w14:paraId="6D5FF26B" w14:textId="59EB8EA3"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1" w:history="1">
        <w:r w:rsidR="00361613" w:rsidRPr="00243D06">
          <w:rPr>
            <w:rStyle w:val="Hyperlink"/>
            <w:noProof/>
          </w:rPr>
          <w:t>2.4</w:t>
        </w:r>
        <w:r w:rsidR="00361613">
          <w:rPr>
            <w:rFonts w:eastAsiaTheme="minorEastAsia" w:cstheme="minorBidi"/>
            <w:smallCaps w:val="0"/>
            <w:noProof/>
            <w:sz w:val="22"/>
            <w:szCs w:val="22"/>
            <w:lang w:eastAsia="en-GB" w:bidi="ar-SA"/>
          </w:rPr>
          <w:tab/>
        </w:r>
        <w:r w:rsidR="00361613" w:rsidRPr="00243D06">
          <w:rPr>
            <w:rStyle w:val="Hyperlink"/>
            <w:noProof/>
          </w:rPr>
          <w:t>Technological justification</w:t>
        </w:r>
        <w:r w:rsidR="00361613">
          <w:rPr>
            <w:noProof/>
            <w:webHidden/>
          </w:rPr>
          <w:tab/>
        </w:r>
        <w:r w:rsidR="00361613">
          <w:rPr>
            <w:noProof/>
            <w:webHidden/>
          </w:rPr>
          <w:fldChar w:fldCharType="begin"/>
        </w:r>
        <w:r w:rsidR="00361613">
          <w:rPr>
            <w:noProof/>
            <w:webHidden/>
          </w:rPr>
          <w:instrText xml:space="preserve"> PAGEREF _Toc103064641 \h </w:instrText>
        </w:r>
        <w:r w:rsidR="00361613">
          <w:rPr>
            <w:noProof/>
            <w:webHidden/>
          </w:rPr>
        </w:r>
        <w:r w:rsidR="00361613">
          <w:rPr>
            <w:noProof/>
            <w:webHidden/>
          </w:rPr>
          <w:fldChar w:fldCharType="separate"/>
        </w:r>
        <w:r w:rsidR="00361613">
          <w:rPr>
            <w:noProof/>
            <w:webHidden/>
          </w:rPr>
          <w:t>5</w:t>
        </w:r>
        <w:r w:rsidR="00361613">
          <w:rPr>
            <w:noProof/>
            <w:webHidden/>
          </w:rPr>
          <w:fldChar w:fldCharType="end"/>
        </w:r>
      </w:hyperlink>
    </w:p>
    <w:p w14:paraId="14E3D4F5" w14:textId="05F3ABB4"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2" w:history="1">
        <w:r w:rsidR="00361613" w:rsidRPr="00243D06">
          <w:rPr>
            <w:rStyle w:val="Hyperlink"/>
            <w:noProof/>
          </w:rPr>
          <w:t>2.5</w:t>
        </w:r>
        <w:r w:rsidR="00361613">
          <w:rPr>
            <w:rFonts w:eastAsiaTheme="minorEastAsia" w:cstheme="minorBidi"/>
            <w:smallCaps w:val="0"/>
            <w:noProof/>
            <w:sz w:val="22"/>
            <w:szCs w:val="22"/>
            <w:lang w:eastAsia="en-GB" w:bidi="ar-SA"/>
          </w:rPr>
          <w:tab/>
        </w:r>
        <w:r w:rsidR="00361613" w:rsidRPr="00243D06">
          <w:rPr>
            <w:rStyle w:val="Hyperlink"/>
            <w:noProof/>
          </w:rPr>
          <w:t>Food technology conclusion</w:t>
        </w:r>
        <w:r w:rsidR="00361613">
          <w:rPr>
            <w:noProof/>
            <w:webHidden/>
          </w:rPr>
          <w:tab/>
        </w:r>
        <w:r w:rsidR="00361613">
          <w:rPr>
            <w:noProof/>
            <w:webHidden/>
          </w:rPr>
          <w:fldChar w:fldCharType="begin"/>
        </w:r>
        <w:r w:rsidR="00361613">
          <w:rPr>
            <w:noProof/>
            <w:webHidden/>
          </w:rPr>
          <w:instrText xml:space="preserve"> PAGEREF _Toc103064642 \h </w:instrText>
        </w:r>
        <w:r w:rsidR="00361613">
          <w:rPr>
            <w:noProof/>
            <w:webHidden/>
          </w:rPr>
        </w:r>
        <w:r w:rsidR="00361613">
          <w:rPr>
            <w:noProof/>
            <w:webHidden/>
          </w:rPr>
          <w:fldChar w:fldCharType="separate"/>
        </w:r>
        <w:r w:rsidR="00361613">
          <w:rPr>
            <w:noProof/>
            <w:webHidden/>
          </w:rPr>
          <w:t>6</w:t>
        </w:r>
        <w:r w:rsidR="00361613">
          <w:rPr>
            <w:noProof/>
            <w:webHidden/>
          </w:rPr>
          <w:fldChar w:fldCharType="end"/>
        </w:r>
      </w:hyperlink>
    </w:p>
    <w:p w14:paraId="036D65A4" w14:textId="40724891" w:rsidR="00361613" w:rsidRDefault="000F5124">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43" w:history="1">
        <w:r w:rsidR="00361613" w:rsidRPr="00243D06">
          <w:rPr>
            <w:rStyle w:val="Hyperlink"/>
            <w:noProof/>
          </w:rPr>
          <w:t>3</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Safety assessment</w:t>
        </w:r>
        <w:r w:rsidR="00361613">
          <w:rPr>
            <w:noProof/>
            <w:webHidden/>
          </w:rPr>
          <w:tab/>
        </w:r>
        <w:r w:rsidR="00361613">
          <w:rPr>
            <w:noProof/>
            <w:webHidden/>
          </w:rPr>
          <w:fldChar w:fldCharType="begin"/>
        </w:r>
        <w:r w:rsidR="00361613">
          <w:rPr>
            <w:noProof/>
            <w:webHidden/>
          </w:rPr>
          <w:instrText xml:space="preserve"> PAGEREF _Toc103064643 \h </w:instrText>
        </w:r>
        <w:r w:rsidR="00361613">
          <w:rPr>
            <w:noProof/>
            <w:webHidden/>
          </w:rPr>
        </w:r>
        <w:r w:rsidR="00361613">
          <w:rPr>
            <w:noProof/>
            <w:webHidden/>
          </w:rPr>
          <w:fldChar w:fldCharType="separate"/>
        </w:r>
        <w:r w:rsidR="00361613">
          <w:rPr>
            <w:noProof/>
            <w:webHidden/>
          </w:rPr>
          <w:t>6</w:t>
        </w:r>
        <w:r w:rsidR="00361613">
          <w:rPr>
            <w:noProof/>
            <w:webHidden/>
          </w:rPr>
          <w:fldChar w:fldCharType="end"/>
        </w:r>
      </w:hyperlink>
    </w:p>
    <w:p w14:paraId="16E1059E" w14:textId="673EE149"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4" w:history="1">
        <w:r w:rsidR="00361613" w:rsidRPr="00243D06">
          <w:rPr>
            <w:rStyle w:val="Hyperlink"/>
            <w:noProof/>
          </w:rPr>
          <w:t>3.1</w:t>
        </w:r>
        <w:r w:rsidR="00361613">
          <w:rPr>
            <w:rFonts w:eastAsiaTheme="minorEastAsia" w:cstheme="minorBidi"/>
            <w:smallCaps w:val="0"/>
            <w:noProof/>
            <w:sz w:val="22"/>
            <w:szCs w:val="22"/>
            <w:lang w:eastAsia="en-GB" w:bidi="ar-SA"/>
          </w:rPr>
          <w:tab/>
        </w:r>
        <w:r w:rsidR="00361613" w:rsidRPr="00243D06">
          <w:rPr>
            <w:rStyle w:val="Hyperlink"/>
            <w:noProof/>
          </w:rPr>
          <w:t>History of use</w:t>
        </w:r>
        <w:r w:rsidR="00361613">
          <w:rPr>
            <w:noProof/>
            <w:webHidden/>
          </w:rPr>
          <w:tab/>
        </w:r>
        <w:r w:rsidR="00361613">
          <w:rPr>
            <w:noProof/>
            <w:webHidden/>
          </w:rPr>
          <w:fldChar w:fldCharType="begin"/>
        </w:r>
        <w:r w:rsidR="00361613">
          <w:rPr>
            <w:noProof/>
            <w:webHidden/>
          </w:rPr>
          <w:instrText xml:space="preserve"> PAGEREF _Toc103064644 \h </w:instrText>
        </w:r>
        <w:r w:rsidR="00361613">
          <w:rPr>
            <w:noProof/>
            <w:webHidden/>
          </w:rPr>
        </w:r>
        <w:r w:rsidR="00361613">
          <w:rPr>
            <w:noProof/>
            <w:webHidden/>
          </w:rPr>
          <w:fldChar w:fldCharType="separate"/>
        </w:r>
        <w:r w:rsidR="00361613">
          <w:rPr>
            <w:noProof/>
            <w:webHidden/>
          </w:rPr>
          <w:t>6</w:t>
        </w:r>
        <w:r w:rsidR="00361613">
          <w:rPr>
            <w:noProof/>
            <w:webHidden/>
          </w:rPr>
          <w:fldChar w:fldCharType="end"/>
        </w:r>
      </w:hyperlink>
    </w:p>
    <w:p w14:paraId="51A14B59" w14:textId="48922C3C"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5" w:history="1">
        <w:r w:rsidR="00361613" w:rsidRPr="00243D06">
          <w:rPr>
            <w:rStyle w:val="Hyperlink"/>
            <w:noProof/>
          </w:rPr>
          <w:t>3.2</w:t>
        </w:r>
        <w:r w:rsidR="00361613">
          <w:rPr>
            <w:rFonts w:eastAsiaTheme="minorEastAsia" w:cstheme="minorBidi"/>
            <w:smallCaps w:val="0"/>
            <w:noProof/>
            <w:sz w:val="22"/>
            <w:szCs w:val="22"/>
            <w:lang w:eastAsia="en-GB" w:bidi="ar-SA"/>
          </w:rPr>
          <w:tab/>
        </w:r>
        <w:r w:rsidR="00361613" w:rsidRPr="00243D06">
          <w:rPr>
            <w:rStyle w:val="Hyperlink"/>
            <w:noProof/>
          </w:rPr>
          <w:t>Characterisation of the genetic modification(s)</w:t>
        </w:r>
        <w:r w:rsidR="00361613">
          <w:rPr>
            <w:noProof/>
            <w:webHidden/>
          </w:rPr>
          <w:tab/>
        </w:r>
        <w:r w:rsidR="00361613">
          <w:rPr>
            <w:noProof/>
            <w:webHidden/>
          </w:rPr>
          <w:fldChar w:fldCharType="begin"/>
        </w:r>
        <w:r w:rsidR="00361613">
          <w:rPr>
            <w:noProof/>
            <w:webHidden/>
          </w:rPr>
          <w:instrText xml:space="preserve"> PAGEREF _Toc103064645 \h </w:instrText>
        </w:r>
        <w:r w:rsidR="00361613">
          <w:rPr>
            <w:noProof/>
            <w:webHidden/>
          </w:rPr>
        </w:r>
        <w:r w:rsidR="00361613">
          <w:rPr>
            <w:noProof/>
            <w:webHidden/>
          </w:rPr>
          <w:fldChar w:fldCharType="separate"/>
        </w:r>
        <w:r w:rsidR="00361613">
          <w:rPr>
            <w:noProof/>
            <w:webHidden/>
          </w:rPr>
          <w:t>7</w:t>
        </w:r>
        <w:r w:rsidR="00361613">
          <w:rPr>
            <w:noProof/>
            <w:webHidden/>
          </w:rPr>
          <w:fldChar w:fldCharType="end"/>
        </w:r>
      </w:hyperlink>
    </w:p>
    <w:p w14:paraId="33D48414" w14:textId="28608665"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6" w:history="1">
        <w:r w:rsidR="00361613" w:rsidRPr="00243D06">
          <w:rPr>
            <w:rStyle w:val="Hyperlink"/>
            <w:noProof/>
          </w:rPr>
          <w:t>3.3</w:t>
        </w:r>
        <w:r w:rsidR="00361613">
          <w:rPr>
            <w:rFonts w:eastAsiaTheme="minorEastAsia" w:cstheme="minorBidi"/>
            <w:smallCaps w:val="0"/>
            <w:noProof/>
            <w:sz w:val="22"/>
            <w:szCs w:val="22"/>
            <w:lang w:eastAsia="en-GB" w:bidi="ar-SA"/>
          </w:rPr>
          <w:tab/>
        </w:r>
        <w:r w:rsidR="00361613" w:rsidRPr="00243D06">
          <w:rPr>
            <w:rStyle w:val="Hyperlink"/>
            <w:noProof/>
          </w:rPr>
          <w:t xml:space="preserve">Safety of </w:t>
        </w:r>
        <w:r w:rsidR="00361613" w:rsidRPr="00243D06">
          <w:rPr>
            <w:rStyle w:val="Hyperlink"/>
            <w:rFonts w:eastAsia="Calibri"/>
            <w:noProof/>
          </w:rPr>
          <w:t>maltogenic alpha-amylase</w:t>
        </w:r>
        <w:r w:rsidR="00361613">
          <w:rPr>
            <w:noProof/>
            <w:webHidden/>
          </w:rPr>
          <w:tab/>
        </w:r>
        <w:r w:rsidR="00361613">
          <w:rPr>
            <w:noProof/>
            <w:webHidden/>
          </w:rPr>
          <w:fldChar w:fldCharType="begin"/>
        </w:r>
        <w:r w:rsidR="00361613">
          <w:rPr>
            <w:noProof/>
            <w:webHidden/>
          </w:rPr>
          <w:instrText xml:space="preserve"> PAGEREF _Toc103064646 \h </w:instrText>
        </w:r>
        <w:r w:rsidR="00361613">
          <w:rPr>
            <w:noProof/>
            <w:webHidden/>
          </w:rPr>
        </w:r>
        <w:r w:rsidR="00361613">
          <w:rPr>
            <w:noProof/>
            <w:webHidden/>
          </w:rPr>
          <w:fldChar w:fldCharType="separate"/>
        </w:r>
        <w:r w:rsidR="00361613">
          <w:rPr>
            <w:noProof/>
            <w:webHidden/>
          </w:rPr>
          <w:t>8</w:t>
        </w:r>
        <w:r w:rsidR="00361613">
          <w:rPr>
            <w:noProof/>
            <w:webHidden/>
          </w:rPr>
          <w:fldChar w:fldCharType="end"/>
        </w:r>
      </w:hyperlink>
    </w:p>
    <w:p w14:paraId="7ADBB892" w14:textId="40F26323" w:rsidR="00361613" w:rsidRDefault="000F5124">
      <w:pPr>
        <w:pStyle w:val="TOC2"/>
        <w:tabs>
          <w:tab w:val="left" w:pos="880"/>
          <w:tab w:val="right" w:leader="dot" w:pos="9060"/>
        </w:tabs>
        <w:rPr>
          <w:rFonts w:eastAsiaTheme="minorEastAsia" w:cstheme="minorBidi"/>
          <w:smallCaps w:val="0"/>
          <w:noProof/>
          <w:sz w:val="22"/>
          <w:szCs w:val="22"/>
          <w:lang w:eastAsia="en-GB" w:bidi="ar-SA"/>
        </w:rPr>
      </w:pPr>
      <w:hyperlink w:anchor="_Toc103064647" w:history="1">
        <w:r w:rsidR="00361613" w:rsidRPr="00243D06">
          <w:rPr>
            <w:rStyle w:val="Hyperlink"/>
            <w:noProof/>
          </w:rPr>
          <w:t>3.4</w:t>
        </w:r>
        <w:r w:rsidR="00361613">
          <w:rPr>
            <w:rFonts w:eastAsiaTheme="minorEastAsia" w:cstheme="minorBidi"/>
            <w:smallCaps w:val="0"/>
            <w:noProof/>
            <w:sz w:val="22"/>
            <w:szCs w:val="22"/>
            <w:lang w:eastAsia="en-GB" w:bidi="ar-SA"/>
          </w:rPr>
          <w:tab/>
        </w:r>
        <w:r w:rsidR="00361613" w:rsidRPr="00243D06">
          <w:rPr>
            <w:rStyle w:val="Hyperlink"/>
            <w:noProof/>
          </w:rPr>
          <w:t>Dietary exposure assessment</w:t>
        </w:r>
        <w:r w:rsidR="00361613">
          <w:rPr>
            <w:noProof/>
            <w:webHidden/>
          </w:rPr>
          <w:tab/>
        </w:r>
        <w:r w:rsidR="00361613">
          <w:rPr>
            <w:noProof/>
            <w:webHidden/>
          </w:rPr>
          <w:fldChar w:fldCharType="begin"/>
        </w:r>
        <w:r w:rsidR="00361613">
          <w:rPr>
            <w:noProof/>
            <w:webHidden/>
          </w:rPr>
          <w:instrText xml:space="preserve"> PAGEREF _Toc103064647 \h </w:instrText>
        </w:r>
        <w:r w:rsidR="00361613">
          <w:rPr>
            <w:noProof/>
            <w:webHidden/>
          </w:rPr>
        </w:r>
        <w:r w:rsidR="00361613">
          <w:rPr>
            <w:noProof/>
            <w:webHidden/>
          </w:rPr>
          <w:fldChar w:fldCharType="separate"/>
        </w:r>
        <w:r w:rsidR="00361613">
          <w:rPr>
            <w:noProof/>
            <w:webHidden/>
          </w:rPr>
          <w:t>10</w:t>
        </w:r>
        <w:r w:rsidR="00361613">
          <w:rPr>
            <w:noProof/>
            <w:webHidden/>
          </w:rPr>
          <w:fldChar w:fldCharType="end"/>
        </w:r>
      </w:hyperlink>
    </w:p>
    <w:p w14:paraId="5A44B9EA" w14:textId="429EAE92" w:rsidR="00361613" w:rsidRDefault="000F5124">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48" w:history="1">
        <w:r w:rsidR="00361613" w:rsidRPr="00243D06">
          <w:rPr>
            <w:rStyle w:val="Hyperlink"/>
            <w:noProof/>
          </w:rPr>
          <w:t xml:space="preserve">4 </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Discussion</w:t>
        </w:r>
        <w:r w:rsidR="00361613">
          <w:rPr>
            <w:noProof/>
            <w:webHidden/>
          </w:rPr>
          <w:tab/>
        </w:r>
        <w:r w:rsidR="00361613">
          <w:rPr>
            <w:noProof/>
            <w:webHidden/>
          </w:rPr>
          <w:fldChar w:fldCharType="begin"/>
        </w:r>
        <w:r w:rsidR="00361613">
          <w:rPr>
            <w:noProof/>
            <w:webHidden/>
          </w:rPr>
          <w:instrText xml:space="preserve"> PAGEREF _Toc103064648 \h </w:instrText>
        </w:r>
        <w:r w:rsidR="00361613">
          <w:rPr>
            <w:noProof/>
            <w:webHidden/>
          </w:rPr>
        </w:r>
        <w:r w:rsidR="00361613">
          <w:rPr>
            <w:noProof/>
            <w:webHidden/>
          </w:rPr>
          <w:fldChar w:fldCharType="separate"/>
        </w:r>
        <w:r w:rsidR="00361613">
          <w:rPr>
            <w:noProof/>
            <w:webHidden/>
          </w:rPr>
          <w:t>11</w:t>
        </w:r>
        <w:r w:rsidR="00361613">
          <w:rPr>
            <w:noProof/>
            <w:webHidden/>
          </w:rPr>
          <w:fldChar w:fldCharType="end"/>
        </w:r>
      </w:hyperlink>
    </w:p>
    <w:p w14:paraId="199D3009" w14:textId="42205802" w:rsidR="00361613" w:rsidRDefault="000F5124">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49" w:history="1">
        <w:r w:rsidR="00361613" w:rsidRPr="00243D06">
          <w:rPr>
            <w:rStyle w:val="Hyperlink"/>
            <w:noProof/>
          </w:rPr>
          <w:t xml:space="preserve">5 </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Conclusions</w:t>
        </w:r>
        <w:r w:rsidR="00361613">
          <w:rPr>
            <w:noProof/>
            <w:webHidden/>
          </w:rPr>
          <w:tab/>
        </w:r>
        <w:r w:rsidR="00361613">
          <w:rPr>
            <w:noProof/>
            <w:webHidden/>
          </w:rPr>
          <w:fldChar w:fldCharType="begin"/>
        </w:r>
        <w:r w:rsidR="00361613">
          <w:rPr>
            <w:noProof/>
            <w:webHidden/>
          </w:rPr>
          <w:instrText xml:space="preserve"> PAGEREF _Toc103064649 \h </w:instrText>
        </w:r>
        <w:r w:rsidR="00361613">
          <w:rPr>
            <w:noProof/>
            <w:webHidden/>
          </w:rPr>
        </w:r>
        <w:r w:rsidR="00361613">
          <w:rPr>
            <w:noProof/>
            <w:webHidden/>
          </w:rPr>
          <w:fldChar w:fldCharType="separate"/>
        </w:r>
        <w:r w:rsidR="00361613">
          <w:rPr>
            <w:noProof/>
            <w:webHidden/>
          </w:rPr>
          <w:t>12</w:t>
        </w:r>
        <w:r w:rsidR="00361613">
          <w:rPr>
            <w:noProof/>
            <w:webHidden/>
          </w:rPr>
          <w:fldChar w:fldCharType="end"/>
        </w:r>
      </w:hyperlink>
    </w:p>
    <w:p w14:paraId="3E487D92" w14:textId="768607E8" w:rsidR="00361613" w:rsidRDefault="000F5124">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50" w:history="1">
        <w:r w:rsidR="00361613" w:rsidRPr="00243D06">
          <w:rPr>
            <w:rStyle w:val="Hyperlink"/>
            <w:noProof/>
          </w:rPr>
          <w:t xml:space="preserve">6 </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References</w:t>
        </w:r>
        <w:r w:rsidR="00361613">
          <w:rPr>
            <w:noProof/>
            <w:webHidden/>
          </w:rPr>
          <w:tab/>
        </w:r>
        <w:r w:rsidR="00361613">
          <w:rPr>
            <w:noProof/>
            <w:webHidden/>
          </w:rPr>
          <w:fldChar w:fldCharType="begin"/>
        </w:r>
        <w:r w:rsidR="00361613">
          <w:rPr>
            <w:noProof/>
            <w:webHidden/>
          </w:rPr>
          <w:instrText xml:space="preserve"> PAGEREF _Toc103064650 \h </w:instrText>
        </w:r>
        <w:r w:rsidR="00361613">
          <w:rPr>
            <w:noProof/>
            <w:webHidden/>
          </w:rPr>
        </w:r>
        <w:r w:rsidR="00361613">
          <w:rPr>
            <w:noProof/>
            <w:webHidden/>
          </w:rPr>
          <w:fldChar w:fldCharType="separate"/>
        </w:r>
        <w:r w:rsidR="00361613">
          <w:rPr>
            <w:noProof/>
            <w:webHidden/>
          </w:rPr>
          <w:t>12</w:t>
        </w:r>
        <w:r w:rsidR="00361613">
          <w:rPr>
            <w:noProof/>
            <w:webHidden/>
          </w:rPr>
          <w:fldChar w:fldCharType="end"/>
        </w:r>
      </w:hyperlink>
    </w:p>
    <w:p w14:paraId="61A5A49E" w14:textId="077A2C25" w:rsidR="00562917" w:rsidRPr="00FF242D" w:rsidRDefault="00C77E95" w:rsidP="00C77E95">
      <w:pPr>
        <w:pStyle w:val="TOC1"/>
        <w:tabs>
          <w:tab w:val="right" w:leader="dot" w:pos="9060"/>
        </w:tabs>
      </w:pPr>
      <w:r w:rsidRPr="00FF242D">
        <w:fldChar w:fldCharType="end"/>
      </w:r>
    </w:p>
    <w:p w14:paraId="2AA91CAA" w14:textId="77777777" w:rsidR="00E066BA" w:rsidRPr="00FF242D" w:rsidRDefault="00E066BA" w:rsidP="00051ED9"/>
    <w:p w14:paraId="34BD6260" w14:textId="77777777" w:rsidR="00051ED9" w:rsidRPr="00FF242D" w:rsidRDefault="00562917" w:rsidP="00772BDC">
      <w:r w:rsidRPr="00FF242D">
        <w:br w:type="page"/>
      </w:r>
    </w:p>
    <w:p w14:paraId="685DF154" w14:textId="11DA0BF5" w:rsidR="00AF0509" w:rsidRDefault="00025BCB" w:rsidP="00025BCB">
      <w:pPr>
        <w:pStyle w:val="Heading1"/>
        <w:ind w:left="0" w:firstLine="0"/>
      </w:pPr>
      <w:bookmarkStart w:id="5" w:name="_Toc501699816"/>
      <w:bookmarkStart w:id="6" w:name="_Toc98407516"/>
      <w:bookmarkStart w:id="7" w:name="_Toc103064635"/>
      <w:r>
        <w:lastRenderedPageBreak/>
        <w:t>1</w:t>
      </w:r>
      <w:r>
        <w:tab/>
      </w:r>
      <w:r w:rsidR="00AF0509" w:rsidRPr="00A92B6C">
        <w:t>Introduction</w:t>
      </w:r>
      <w:bookmarkEnd w:id="5"/>
      <w:bookmarkEnd w:id="6"/>
      <w:bookmarkEnd w:id="7"/>
    </w:p>
    <w:p w14:paraId="4D12B488" w14:textId="08F60A5C" w:rsidR="00A0071F" w:rsidRPr="0071214E" w:rsidRDefault="00025BCB" w:rsidP="0071214E">
      <w:r>
        <w:rPr>
          <w:lang w:bidi="ar-SA"/>
        </w:rPr>
        <w:t>Danisco New Zealand Limited (Danisco)</w:t>
      </w:r>
      <w:r w:rsidR="00CB6CF6">
        <w:rPr>
          <w:lang w:bidi="ar-SA"/>
        </w:rPr>
        <w:t>,</w:t>
      </w:r>
      <w:r>
        <w:rPr>
          <w:lang w:bidi="ar-SA"/>
        </w:rPr>
        <w:t xml:space="preserve"> applied to Food Standards Australia New Zealand (FSANZ) to amend the Australia New Zealand Food Standards Code </w:t>
      </w:r>
      <w:r w:rsidR="00CB6CF6">
        <w:rPr>
          <w:lang w:bidi="ar-SA"/>
        </w:rPr>
        <w:t xml:space="preserve">(the Code) </w:t>
      </w:r>
      <w:r>
        <w:rPr>
          <w:lang w:bidi="ar-SA"/>
        </w:rPr>
        <w:t xml:space="preserve">to </w:t>
      </w:r>
      <w:r w:rsidRPr="00025BCB">
        <w:rPr>
          <w:lang w:bidi="ar-SA"/>
        </w:rPr>
        <w:t xml:space="preserve">permit the use of </w:t>
      </w:r>
      <w:r>
        <w:rPr>
          <w:lang w:bidi="ar-SA"/>
        </w:rPr>
        <w:t>a</w:t>
      </w:r>
      <w:r w:rsidRPr="00025BCB">
        <w:rPr>
          <w:lang w:bidi="ar-SA"/>
        </w:rPr>
        <w:t xml:space="preserve">lpha-amylase </w:t>
      </w:r>
      <w:r w:rsidR="00D3520C">
        <w:rPr>
          <w:lang w:bidi="ar-SA"/>
        </w:rPr>
        <w:t>by</w:t>
      </w:r>
      <w:r w:rsidRPr="00025BCB">
        <w:rPr>
          <w:lang w:bidi="ar-SA"/>
        </w:rPr>
        <w:t xml:space="preserve"> </w:t>
      </w:r>
      <w:r w:rsidR="00D3520C">
        <w:rPr>
          <w:lang w:bidi="ar-SA"/>
        </w:rPr>
        <w:t xml:space="preserve">a </w:t>
      </w:r>
      <w:r>
        <w:rPr>
          <w:lang w:bidi="ar-SA"/>
        </w:rPr>
        <w:t>genetically modified (</w:t>
      </w:r>
      <w:r w:rsidRPr="00025BCB">
        <w:rPr>
          <w:lang w:bidi="ar-SA"/>
        </w:rPr>
        <w:t>GM</w:t>
      </w:r>
      <w:r>
        <w:rPr>
          <w:lang w:bidi="ar-SA"/>
        </w:rPr>
        <w:t>)</w:t>
      </w:r>
      <w:r w:rsidRPr="00025BCB">
        <w:rPr>
          <w:lang w:bidi="ar-SA"/>
        </w:rPr>
        <w:t xml:space="preserve"> </w:t>
      </w:r>
      <w:r w:rsidRPr="00025BCB">
        <w:rPr>
          <w:i/>
          <w:lang w:bidi="ar-SA"/>
        </w:rPr>
        <w:t>Bacillus licheniformis</w:t>
      </w:r>
      <w:r w:rsidRPr="00025BCB">
        <w:rPr>
          <w:lang w:bidi="ar-SA"/>
        </w:rPr>
        <w:t xml:space="preserve"> </w:t>
      </w:r>
      <w:r w:rsidR="00D3520C">
        <w:rPr>
          <w:lang w:bidi="ar-SA"/>
        </w:rPr>
        <w:t xml:space="preserve">strain </w:t>
      </w:r>
      <w:r w:rsidRPr="00025BCB">
        <w:rPr>
          <w:lang w:bidi="ar-SA"/>
        </w:rPr>
        <w:t>as an enzyme processing aid</w:t>
      </w:r>
      <w:r w:rsidR="00412FD9">
        <w:rPr>
          <w:lang w:bidi="ar-SA"/>
        </w:rPr>
        <w:t xml:space="preserve">. </w:t>
      </w:r>
      <w:r w:rsidRPr="00025BCB">
        <w:rPr>
          <w:lang w:bidi="ar-SA"/>
        </w:rPr>
        <w:t xml:space="preserve"> </w:t>
      </w:r>
      <w:r w:rsidR="00E91694">
        <w:t xml:space="preserve">The alpha-amylase enzyme is produced by submerged fermentation of </w:t>
      </w:r>
      <w:r w:rsidR="00D3520C">
        <w:t xml:space="preserve">the </w:t>
      </w:r>
      <w:r w:rsidR="00E91694" w:rsidRPr="00E91694">
        <w:rPr>
          <w:i/>
        </w:rPr>
        <w:t>B. licheniformis</w:t>
      </w:r>
      <w:r w:rsidR="00D3520C">
        <w:t xml:space="preserve"> strain JML1584</w:t>
      </w:r>
      <w:r w:rsidR="00E91694">
        <w:t xml:space="preserve"> carrying the alpha-amylase gene </w:t>
      </w:r>
      <w:r w:rsidR="00D3520C">
        <w:t>originat</w:t>
      </w:r>
      <w:r w:rsidR="00FF242D">
        <w:t>ing</w:t>
      </w:r>
      <w:r w:rsidR="00D3520C">
        <w:t xml:space="preserve"> </w:t>
      </w:r>
      <w:r w:rsidR="00E91694">
        <w:t xml:space="preserve">from </w:t>
      </w:r>
      <w:r w:rsidR="00D3520C">
        <w:t xml:space="preserve">an isolate of </w:t>
      </w:r>
      <w:r w:rsidR="00E91694" w:rsidRPr="00E91694">
        <w:rPr>
          <w:i/>
        </w:rPr>
        <w:t xml:space="preserve">Cytophaga </w:t>
      </w:r>
      <w:r w:rsidR="00E91694">
        <w:t xml:space="preserve">species </w:t>
      </w:r>
      <w:r w:rsidR="00E91694" w:rsidRPr="00E91694">
        <w:t xml:space="preserve">(sp.). </w:t>
      </w:r>
      <w:r w:rsidR="00A0071F">
        <w:t xml:space="preserve">The enzyme is intended to be used </w:t>
      </w:r>
      <w:r w:rsidR="00412FD9" w:rsidRPr="00025BCB">
        <w:rPr>
          <w:lang w:bidi="ar-SA"/>
        </w:rPr>
        <w:t xml:space="preserve">in brewed beverages, potable alcohol production and starch </w:t>
      </w:r>
      <w:r w:rsidR="00412FD9" w:rsidRPr="0071214E">
        <w:rPr>
          <w:lang w:bidi="ar-SA"/>
        </w:rPr>
        <w:t>processing</w:t>
      </w:r>
      <w:r w:rsidR="0071214E" w:rsidRPr="0071214E">
        <w:t xml:space="preserve"> at the minimum level required to achieve the desired effect, in accordance with the principles of current Good Manufacturing Practice (GMP)</w:t>
      </w:r>
      <w:r w:rsidR="00412FD9" w:rsidRPr="0071214E">
        <w:rPr>
          <w:lang w:bidi="ar-SA"/>
        </w:rPr>
        <w:t>.</w:t>
      </w:r>
      <w:r w:rsidR="00A0071F" w:rsidRPr="0071214E">
        <w:t xml:space="preserve"> </w:t>
      </w:r>
    </w:p>
    <w:p w14:paraId="5BAC4DDB" w14:textId="77777777" w:rsidR="00F7411E" w:rsidRDefault="00F7411E" w:rsidP="00025BCB"/>
    <w:p w14:paraId="30280323" w14:textId="6611DDDD" w:rsidR="00E91694" w:rsidRDefault="00E91694" w:rsidP="005C3196">
      <w:pPr>
        <w:rPr>
          <w:lang w:bidi="ar-SA"/>
        </w:rPr>
      </w:pPr>
      <w:r>
        <w:rPr>
          <w:lang w:bidi="ar-SA"/>
        </w:rPr>
        <w:t>There are permissions</w:t>
      </w:r>
      <w:r w:rsidR="005C3196">
        <w:rPr>
          <w:lang w:bidi="ar-SA"/>
        </w:rPr>
        <w:t xml:space="preserve"> in the Code for </w:t>
      </w:r>
      <w:r w:rsidR="005C3196">
        <w:t>alpha-amylase to be used as a processing aid</w:t>
      </w:r>
      <w:r w:rsidR="00CB6CF6">
        <w:t>,</w:t>
      </w:r>
      <w:r w:rsidR="005C3196">
        <w:t xml:space="preserve"> including from plant sources</w:t>
      </w:r>
      <w:r w:rsidR="00CB6CF6">
        <w:t xml:space="preserve">, </w:t>
      </w:r>
      <w:r w:rsidR="005C3196">
        <w:t>in malted cereals (</w:t>
      </w:r>
      <w:r w:rsidR="005C3196" w:rsidRPr="00D97248">
        <w:t>S18—4(4)), and from</w:t>
      </w:r>
      <w:r w:rsidR="005C3196">
        <w:t xml:space="preserve"> various microbial origins including </w:t>
      </w:r>
      <w:r w:rsidR="005C3196" w:rsidRPr="00D97248">
        <w:rPr>
          <w:i/>
        </w:rPr>
        <w:t>Bacillius licheniformi</w:t>
      </w:r>
      <w:r w:rsidR="005C3196">
        <w:rPr>
          <w:i/>
        </w:rPr>
        <w:t xml:space="preserve">s </w:t>
      </w:r>
      <w:r w:rsidR="005C3196">
        <w:rPr>
          <w:color w:val="000000" w:themeColor="text1"/>
        </w:rPr>
        <w:t>(</w:t>
      </w:r>
      <w:r w:rsidR="005C3196" w:rsidRPr="00D97248">
        <w:rPr>
          <w:color w:val="000000" w:themeColor="text1"/>
        </w:rPr>
        <w:t>S18</w:t>
      </w:r>
      <w:r w:rsidR="005C3196" w:rsidRPr="00D97248">
        <w:t>—4(9) and S18—9)</w:t>
      </w:r>
      <w:r w:rsidR="00CB6CF6">
        <w:t>. H</w:t>
      </w:r>
      <w:r w:rsidR="005C3196" w:rsidRPr="00D97248">
        <w:t>owever</w:t>
      </w:r>
      <w:r w:rsidR="00EE1EA5">
        <w:t>, there is</w:t>
      </w:r>
      <w:r w:rsidR="005C3196">
        <w:t xml:space="preserve"> no</w:t>
      </w:r>
      <w:r w:rsidR="00EE1EA5">
        <w:t xml:space="preserve"> permission for alpha-amylase</w:t>
      </w:r>
      <w:r w:rsidR="005C3196">
        <w:t xml:space="preserve"> from </w:t>
      </w:r>
      <w:r w:rsidR="005C3196" w:rsidRPr="00DE7886">
        <w:rPr>
          <w:i/>
          <w:color w:val="000000" w:themeColor="text1"/>
        </w:rPr>
        <w:t>B. licheniformis</w:t>
      </w:r>
      <w:r w:rsidR="005C3196" w:rsidRPr="00DE7886">
        <w:rPr>
          <w:color w:val="000000" w:themeColor="text1"/>
        </w:rPr>
        <w:t xml:space="preserve"> carrying the alpha-amylase gene </w:t>
      </w:r>
      <w:r w:rsidR="00D3520C">
        <w:rPr>
          <w:color w:val="000000" w:themeColor="text1"/>
        </w:rPr>
        <w:t>originat</w:t>
      </w:r>
      <w:r w:rsidR="00FF242D">
        <w:rPr>
          <w:color w:val="000000" w:themeColor="text1"/>
        </w:rPr>
        <w:t>ing</w:t>
      </w:r>
      <w:r w:rsidR="00D3520C">
        <w:rPr>
          <w:color w:val="000000" w:themeColor="text1"/>
        </w:rPr>
        <w:t xml:space="preserve"> </w:t>
      </w:r>
      <w:r w:rsidR="005C3196" w:rsidRPr="00DE7886">
        <w:rPr>
          <w:color w:val="000000" w:themeColor="text1"/>
        </w:rPr>
        <w:t xml:space="preserve">from </w:t>
      </w:r>
      <w:r w:rsidR="005C3196" w:rsidRPr="00DE7886">
        <w:rPr>
          <w:i/>
          <w:color w:val="000000" w:themeColor="text1"/>
        </w:rPr>
        <w:t>Cytophaga</w:t>
      </w:r>
      <w:r w:rsidR="005C3196" w:rsidRPr="00DE7886">
        <w:rPr>
          <w:color w:val="000000" w:themeColor="text1"/>
        </w:rPr>
        <w:t xml:space="preserve"> sp</w:t>
      </w:r>
      <w:r w:rsidR="005C3196">
        <w:rPr>
          <w:color w:val="000000" w:themeColor="text1"/>
        </w:rPr>
        <w:t>. as requested by the applicant. I</w:t>
      </w:r>
      <w:r w:rsidRPr="00E91694">
        <w:rPr>
          <w:lang w:bidi="ar-SA"/>
        </w:rPr>
        <w:t xml:space="preserve">f permitted following a pre-market assessment, the </w:t>
      </w:r>
      <w:r w:rsidR="005C3196">
        <w:rPr>
          <w:lang w:bidi="ar-SA"/>
        </w:rPr>
        <w:t>alpha-</w:t>
      </w:r>
      <w:r>
        <w:rPr>
          <w:lang w:bidi="ar-SA"/>
        </w:rPr>
        <w:t xml:space="preserve">amylase </w:t>
      </w:r>
      <w:r w:rsidRPr="00E91694">
        <w:rPr>
          <w:lang w:bidi="ar-SA"/>
        </w:rPr>
        <w:t xml:space="preserve">that is the subject of this application would provide an additional option for manufacturers seeking to </w:t>
      </w:r>
      <w:r w:rsidR="005C3196">
        <w:rPr>
          <w:lang w:bidi="ar-SA"/>
        </w:rPr>
        <w:t xml:space="preserve">use </w:t>
      </w:r>
      <w:r w:rsidR="00D3520C">
        <w:rPr>
          <w:lang w:bidi="ar-SA"/>
        </w:rPr>
        <w:t>alpha-amylase</w:t>
      </w:r>
      <w:r w:rsidR="005C3196">
        <w:rPr>
          <w:lang w:bidi="ar-SA"/>
        </w:rPr>
        <w:t xml:space="preserve"> as a processing aid </w:t>
      </w:r>
      <w:r w:rsidR="005C3196" w:rsidRPr="005C3196">
        <w:rPr>
          <w:lang w:bidi="ar-SA"/>
        </w:rPr>
        <w:t>in brewed beverages, potable alcohol production and starch processing</w:t>
      </w:r>
      <w:r w:rsidR="005C3196">
        <w:rPr>
          <w:lang w:bidi="ar-SA"/>
        </w:rPr>
        <w:t xml:space="preserve">. </w:t>
      </w:r>
    </w:p>
    <w:p w14:paraId="3A2D9D9B" w14:textId="7E07DC1B" w:rsidR="00E91694" w:rsidRDefault="00E91694" w:rsidP="00025BCB">
      <w:pPr>
        <w:rPr>
          <w:lang w:bidi="ar-SA"/>
        </w:rPr>
      </w:pPr>
    </w:p>
    <w:p w14:paraId="11D92B31" w14:textId="2D46AC56" w:rsidR="00EF6B4F" w:rsidRPr="00025BCB" w:rsidRDefault="00E91694" w:rsidP="00025BCB">
      <w:pPr>
        <w:rPr>
          <w:lang w:bidi="ar-SA"/>
        </w:rPr>
      </w:pPr>
      <w:r>
        <w:rPr>
          <w:lang w:bidi="ar-SA"/>
        </w:rPr>
        <w:t>The applicant markets</w:t>
      </w:r>
      <w:r w:rsidR="00EC37FE">
        <w:rPr>
          <w:lang w:bidi="ar-SA"/>
        </w:rPr>
        <w:t xml:space="preserve"> different</w:t>
      </w:r>
      <w:r w:rsidR="00F46872">
        <w:rPr>
          <w:lang w:bidi="ar-SA"/>
        </w:rPr>
        <w:t xml:space="preserve"> liquid</w:t>
      </w:r>
      <w:r>
        <w:rPr>
          <w:lang w:bidi="ar-SA"/>
        </w:rPr>
        <w:t xml:space="preserve"> enzyme preparations containing th</w:t>
      </w:r>
      <w:r w:rsidR="00E86827">
        <w:rPr>
          <w:lang w:bidi="ar-SA"/>
        </w:rPr>
        <w:t>e</w:t>
      </w:r>
      <w:r>
        <w:rPr>
          <w:lang w:bidi="ar-SA"/>
        </w:rPr>
        <w:t xml:space="preserve"> enzyme</w:t>
      </w:r>
      <w:r w:rsidR="00E86827">
        <w:rPr>
          <w:lang w:bidi="ar-SA"/>
        </w:rPr>
        <w:t xml:space="preserve"> concentrate</w:t>
      </w:r>
      <w:r>
        <w:rPr>
          <w:lang w:bidi="ar-SA"/>
        </w:rPr>
        <w:t xml:space="preserve"> under various names</w:t>
      </w:r>
      <w:r w:rsidR="00EE1EA5">
        <w:rPr>
          <w:lang w:bidi="ar-SA"/>
        </w:rPr>
        <w:t xml:space="preserve"> including</w:t>
      </w:r>
      <w:r w:rsidR="00EF6B4F">
        <w:rPr>
          <w:lang w:bidi="ar-SA"/>
        </w:rPr>
        <w:t xml:space="preserve"> ‘</w:t>
      </w:r>
      <w:r w:rsidR="00EF6B4F">
        <w:t>Spezyme SL’ and ‘GC 126’.</w:t>
      </w:r>
      <w:r w:rsidR="00EC37FE">
        <w:t xml:space="preserve"> </w:t>
      </w:r>
      <w:r w:rsidR="00E86827">
        <w:t xml:space="preserve">The carriers and stabilisers used in the enzyme preparations differ depending on the intended use of the preparation. </w:t>
      </w:r>
    </w:p>
    <w:p w14:paraId="63BE092B" w14:textId="38678BD9" w:rsidR="001E6A7B" w:rsidRDefault="001E6A7B" w:rsidP="00EF6B4F">
      <w:pPr>
        <w:pStyle w:val="Heading2"/>
        <w:numPr>
          <w:ilvl w:val="1"/>
          <w:numId w:val="23"/>
        </w:numPr>
      </w:pPr>
      <w:bookmarkStart w:id="8" w:name="_Toc501699817"/>
      <w:bookmarkStart w:id="9" w:name="_Toc98407517"/>
      <w:bookmarkStart w:id="10" w:name="_Toc103064636"/>
      <w:bookmarkEnd w:id="8"/>
      <w:r w:rsidRPr="00A92B6C">
        <w:t>Objectives of the assessment</w:t>
      </w:r>
      <w:bookmarkEnd w:id="9"/>
      <w:bookmarkEnd w:id="10"/>
    </w:p>
    <w:p w14:paraId="45278311" w14:textId="3FD25A83" w:rsidR="00C17B7B" w:rsidRPr="00C17B7B" w:rsidRDefault="00C17B7B" w:rsidP="00C17B7B">
      <w:r w:rsidRPr="00C17B7B">
        <w:t xml:space="preserve">The objectives of this </w:t>
      </w:r>
      <w:r w:rsidR="005F0EF6">
        <w:t xml:space="preserve">risk and </w:t>
      </w:r>
      <w:r w:rsidRPr="00C17B7B">
        <w:t>technical assessment were to:</w:t>
      </w:r>
    </w:p>
    <w:p w14:paraId="17DC0BEE" w14:textId="77777777" w:rsidR="00C17B7B" w:rsidRPr="00C17B7B" w:rsidRDefault="00C17B7B" w:rsidP="00C17B7B"/>
    <w:p w14:paraId="6FC25A63" w14:textId="538162CF" w:rsidR="00C17B7B" w:rsidRPr="00C17B7B" w:rsidRDefault="00C17B7B" w:rsidP="00C17B7B">
      <w:pPr>
        <w:pStyle w:val="FSBullet1"/>
      </w:pPr>
      <w:r w:rsidRPr="00C17B7B">
        <w:t xml:space="preserve">determine whether the proposed purpose is a solely technological purpose (function) and that the enzyme achieves its technological purpose as a processing aid in the quantity and form proposed to be used </w:t>
      </w:r>
    </w:p>
    <w:p w14:paraId="75C2A507" w14:textId="77777777" w:rsidR="00C17B7B" w:rsidRPr="00C17B7B" w:rsidRDefault="00C17B7B" w:rsidP="00C17B7B">
      <w:pPr>
        <w:pStyle w:val="FSBullet1"/>
      </w:pPr>
      <w:r w:rsidRPr="00C17B7B">
        <w:t>evaluate potential public health and safety issues that may arise from the use of this enzyme, produced by a genetically modified organism, as a processing aid, specifically by considering the:</w:t>
      </w:r>
    </w:p>
    <w:p w14:paraId="4741E565" w14:textId="77777777" w:rsidR="00C17B7B" w:rsidRPr="00C17B7B" w:rsidRDefault="00C17B7B" w:rsidP="00C17B7B">
      <w:pPr>
        <w:pStyle w:val="FSBullet2"/>
      </w:pPr>
      <w:r w:rsidRPr="00C17B7B">
        <w:t>history of use of the host and gene donor organisms</w:t>
      </w:r>
    </w:p>
    <w:p w14:paraId="460A243D" w14:textId="77777777" w:rsidR="00C17B7B" w:rsidRPr="00C17B7B" w:rsidRDefault="00C17B7B" w:rsidP="00C17B7B">
      <w:pPr>
        <w:pStyle w:val="FSBullet2"/>
      </w:pPr>
      <w:r w:rsidRPr="00C17B7B">
        <w:t>characterisation of the genetic modification(s)</w:t>
      </w:r>
    </w:p>
    <w:p w14:paraId="39C7CE75" w14:textId="79CBF9CD" w:rsidR="00EF6B4F" w:rsidRPr="00EF6B4F" w:rsidRDefault="00C17B7B" w:rsidP="003B10E7">
      <w:pPr>
        <w:pStyle w:val="FSBullet2"/>
      </w:pPr>
      <w:r w:rsidRPr="00C17B7B">
        <w:t>safety of the enzyme.</w:t>
      </w:r>
    </w:p>
    <w:p w14:paraId="5767146C" w14:textId="1C2F71F6" w:rsidR="001E6A7B" w:rsidRPr="00A92B6C" w:rsidRDefault="001E6A7B" w:rsidP="000A14E9">
      <w:pPr>
        <w:pStyle w:val="Heading1"/>
        <w:ind w:left="567" w:hanging="567"/>
      </w:pPr>
      <w:bookmarkStart w:id="11" w:name="_Toc98407518"/>
      <w:bookmarkStart w:id="12" w:name="_Toc103064637"/>
      <w:r w:rsidRPr="00A92B6C">
        <w:t>2</w:t>
      </w:r>
      <w:r w:rsidR="000A14E9" w:rsidRPr="00A92B6C">
        <w:tab/>
      </w:r>
      <w:r w:rsidRPr="00A92B6C">
        <w:t>Food technology assessment</w:t>
      </w:r>
      <w:bookmarkEnd w:id="11"/>
      <w:bookmarkEnd w:id="12"/>
    </w:p>
    <w:p w14:paraId="28876474" w14:textId="77777777" w:rsidR="001E6A7B" w:rsidRDefault="001E6A7B" w:rsidP="00EF6B4F">
      <w:pPr>
        <w:pStyle w:val="Heading2"/>
      </w:pPr>
      <w:bookmarkStart w:id="13" w:name="_Toc472327044"/>
      <w:bookmarkStart w:id="14" w:name="_Toc501699819"/>
      <w:bookmarkStart w:id="15" w:name="_Toc98407519"/>
      <w:bookmarkStart w:id="16" w:name="_Toc103064638"/>
      <w:r w:rsidRPr="00A92B6C">
        <w:t>2.1</w:t>
      </w:r>
      <w:r w:rsidRPr="00A92B6C">
        <w:tab/>
        <w:t>Characterisation of the enzyme</w:t>
      </w:r>
      <w:bookmarkEnd w:id="13"/>
      <w:bookmarkEnd w:id="14"/>
      <w:bookmarkEnd w:id="15"/>
      <w:bookmarkEnd w:id="16"/>
    </w:p>
    <w:p w14:paraId="39B8A82A" w14:textId="33099E58" w:rsidR="00361613" w:rsidRDefault="00C17B7B" w:rsidP="00E86827">
      <w:pPr>
        <w:rPr>
          <w:rFonts w:eastAsia="Calibri" w:cs="Arial"/>
          <w:szCs w:val="22"/>
          <w:lang w:bidi="ar-SA"/>
        </w:rPr>
      </w:pPr>
      <w:r w:rsidRPr="00C17B7B">
        <w:rPr>
          <w:rFonts w:eastAsia="Calibri" w:cs="Arial"/>
          <w:szCs w:val="22"/>
          <w:lang w:bidi="ar-SA"/>
        </w:rPr>
        <w:t>The production microorganism of the enzyme is a GM strain of</w:t>
      </w:r>
      <w:r w:rsidRPr="003B10E7">
        <w:t xml:space="preserve"> </w:t>
      </w:r>
      <w:r w:rsidRPr="003B10E7">
        <w:rPr>
          <w:rFonts w:eastAsia="Calibri" w:cs="Arial"/>
          <w:i/>
          <w:szCs w:val="22"/>
          <w:lang w:bidi="ar-SA"/>
        </w:rPr>
        <w:t>B. licheniformis</w:t>
      </w:r>
      <w:r w:rsidR="00361613">
        <w:rPr>
          <w:rFonts w:eastAsia="Calibri" w:cs="Arial"/>
          <w:i/>
          <w:szCs w:val="22"/>
          <w:lang w:bidi="ar-SA"/>
        </w:rPr>
        <w:t xml:space="preserve">, </w:t>
      </w:r>
      <w:r w:rsidR="00361613" w:rsidRPr="00361613">
        <w:rPr>
          <w:rFonts w:eastAsia="Calibri" w:cs="Arial"/>
          <w:szCs w:val="22"/>
          <w:lang w:bidi="ar-SA"/>
        </w:rPr>
        <w:t>i.e</w:t>
      </w:r>
      <w:r w:rsidR="00C9647C">
        <w:rPr>
          <w:rFonts w:eastAsia="Calibri" w:cs="Arial"/>
          <w:szCs w:val="22"/>
          <w:lang w:bidi="ar-SA"/>
        </w:rPr>
        <w:t>.</w:t>
      </w:r>
      <w:r w:rsidR="00361613" w:rsidRPr="00361613">
        <w:t xml:space="preserve"> </w:t>
      </w:r>
      <w:r w:rsidR="00361613" w:rsidRPr="00361613">
        <w:rPr>
          <w:rFonts w:eastAsia="Calibri" w:cs="Arial"/>
          <w:i/>
          <w:szCs w:val="22"/>
          <w:lang w:bidi="ar-SA"/>
        </w:rPr>
        <w:t>B. licheniformis strain JML1584</w:t>
      </w:r>
      <w:r w:rsidRPr="003B10E7">
        <w:rPr>
          <w:rFonts w:eastAsia="Calibri" w:cs="Arial"/>
          <w:i/>
          <w:szCs w:val="22"/>
          <w:lang w:bidi="ar-SA"/>
        </w:rPr>
        <w:t>.</w:t>
      </w:r>
      <w:r w:rsidRPr="00C17B7B">
        <w:rPr>
          <w:rFonts w:eastAsia="Calibri" w:cs="Arial"/>
          <w:szCs w:val="22"/>
          <w:lang w:bidi="ar-SA"/>
        </w:rPr>
        <w:t xml:space="preserve"> The donor microorganism of the </w:t>
      </w:r>
      <w:r w:rsidRPr="003B10E7">
        <w:rPr>
          <w:rFonts w:eastAsia="Calibri" w:cs="Arial"/>
          <w:szCs w:val="22"/>
          <w:lang w:bidi="ar-SA"/>
        </w:rPr>
        <w:t xml:space="preserve">alpha-amylase gene </w:t>
      </w:r>
      <w:r w:rsidRPr="00C17B7B">
        <w:rPr>
          <w:rFonts w:cs="Arial"/>
        </w:rPr>
        <w:t>is</w:t>
      </w:r>
      <w:r w:rsidR="003B10E7" w:rsidRPr="003B10E7">
        <w:t xml:space="preserve"> </w:t>
      </w:r>
      <w:r w:rsidR="0056664C">
        <w:t xml:space="preserve">an isolate of </w:t>
      </w:r>
      <w:r w:rsidR="003B10E7" w:rsidRPr="003B10E7">
        <w:rPr>
          <w:rFonts w:cs="Arial"/>
          <w:i/>
        </w:rPr>
        <w:t>Cytophaga</w:t>
      </w:r>
      <w:r w:rsidR="003B10E7" w:rsidRPr="003B10E7">
        <w:rPr>
          <w:rFonts w:cs="Arial"/>
        </w:rPr>
        <w:t xml:space="preserve"> sp</w:t>
      </w:r>
      <w:r w:rsidR="00361613">
        <w:rPr>
          <w:rFonts w:cs="Arial"/>
        </w:rPr>
        <w:t>. F</w:t>
      </w:r>
      <w:r w:rsidRPr="00C17B7B">
        <w:rPr>
          <w:rFonts w:cs="Arial"/>
        </w:rPr>
        <w:t xml:space="preserve">urther details </w:t>
      </w:r>
      <w:r w:rsidR="003B10E7" w:rsidRPr="003B10E7">
        <w:rPr>
          <w:rFonts w:cs="Arial"/>
        </w:rPr>
        <w:t xml:space="preserve">are provided in </w:t>
      </w:r>
      <w:r w:rsidRPr="00C73E99">
        <w:rPr>
          <w:rFonts w:cs="Arial"/>
        </w:rPr>
        <w:t>section 3</w:t>
      </w:r>
      <w:r w:rsidRPr="00C73E99">
        <w:rPr>
          <w:rFonts w:eastAsia="Calibri" w:cs="Arial"/>
          <w:szCs w:val="22"/>
          <w:lang w:bidi="ar-SA"/>
        </w:rPr>
        <w:t xml:space="preserve">. </w:t>
      </w:r>
    </w:p>
    <w:p w14:paraId="05F41C8A" w14:textId="77777777" w:rsidR="00361613" w:rsidRDefault="00361613" w:rsidP="00E86827">
      <w:pPr>
        <w:rPr>
          <w:rFonts w:eastAsia="Calibri" w:cs="Arial"/>
          <w:szCs w:val="22"/>
          <w:lang w:bidi="ar-SA"/>
        </w:rPr>
      </w:pPr>
    </w:p>
    <w:p w14:paraId="41E1D8D6" w14:textId="6F936E1C" w:rsidR="005C3196" w:rsidRDefault="00C17B7B" w:rsidP="00E86827">
      <w:pPr>
        <w:rPr>
          <w:rFonts w:eastAsia="Calibri" w:cs="Arial"/>
          <w:b/>
          <w:i/>
          <w:lang w:bidi="ar-SA"/>
        </w:rPr>
      </w:pPr>
      <w:r w:rsidRPr="00C73E99">
        <w:t xml:space="preserve">The applicant provided relevant information regarding the identity of the </w:t>
      </w:r>
      <w:r w:rsidR="00F7411E" w:rsidRPr="00C73E99">
        <w:rPr>
          <w:sz w:val="23"/>
          <w:szCs w:val="23"/>
        </w:rPr>
        <w:t xml:space="preserve">alpha-amylase </w:t>
      </w:r>
      <w:r w:rsidRPr="00C73E99">
        <w:t>enzyme. FSANZ verified this using an appropriate enzyme nomenclature reference (IUBMB 2022</w:t>
      </w:r>
      <w:r w:rsidR="003B10E7" w:rsidRPr="00C73E99">
        <w:t>)</w:t>
      </w:r>
      <w:r w:rsidRPr="00C73E99">
        <w:t xml:space="preserve">. </w:t>
      </w:r>
      <w:r w:rsidRPr="00C73E99">
        <w:rPr>
          <w:rFonts w:eastAsia="Calibri"/>
          <w:lang w:bidi="ar-SA"/>
        </w:rPr>
        <w:t>Details of the identity of the enzyme are provided in Table 1.</w:t>
      </w:r>
      <w:r w:rsidR="005C3196">
        <w:rPr>
          <w:rFonts w:eastAsia="Calibri"/>
          <w:i/>
          <w:lang w:bidi="ar-SA"/>
        </w:rPr>
        <w:br w:type="page"/>
      </w:r>
    </w:p>
    <w:p w14:paraId="2E705DB1" w14:textId="661800C1" w:rsidR="00C17B7B" w:rsidRPr="00450631" w:rsidRDefault="00C17B7B" w:rsidP="00450631">
      <w:pPr>
        <w:pStyle w:val="FSTableTitle"/>
        <w:rPr>
          <w:rFonts w:eastAsia="Calibri"/>
          <w:i/>
          <w:lang w:bidi="ar-SA"/>
        </w:rPr>
      </w:pPr>
      <w:r w:rsidRPr="00450631">
        <w:rPr>
          <w:rFonts w:eastAsia="Calibri"/>
          <w:i/>
          <w:lang w:bidi="ar-SA"/>
        </w:rPr>
        <w:lastRenderedPageBreak/>
        <w:t>Table 1</w:t>
      </w:r>
      <w:r w:rsidRPr="00450631">
        <w:rPr>
          <w:rFonts w:eastAsia="Calibri"/>
          <w:i/>
          <w:lang w:bidi="ar-SA"/>
        </w:rPr>
        <w:tab/>
        <w:t>Identity</w:t>
      </w:r>
      <w:r w:rsidR="00F7411E" w:rsidRPr="00450631">
        <w:rPr>
          <w:rFonts w:eastAsia="Calibri"/>
          <w:i/>
          <w:lang w:bidi="ar-SA"/>
        </w:rPr>
        <w:t xml:space="preserve"> of alpha-amylase</w:t>
      </w:r>
    </w:p>
    <w:p w14:paraId="27C71883" w14:textId="77777777" w:rsidR="00C17B7B" w:rsidRPr="00C73E99" w:rsidRDefault="00C17B7B" w:rsidP="00C17B7B"/>
    <w:tbl>
      <w:tblPr>
        <w:tblStyle w:val="TableGrid31"/>
        <w:tblW w:w="0" w:type="auto"/>
        <w:tblLook w:val="04A0" w:firstRow="1" w:lastRow="0" w:firstColumn="1" w:lastColumn="0" w:noHBand="0" w:noVBand="1"/>
        <w:tblCaption w:val="Table 1"/>
        <w:tblDescription w:val="Identity and relevant details of the enzyme maltogenic alpha-amylase."/>
      </w:tblPr>
      <w:tblGrid>
        <w:gridCol w:w="2689"/>
        <w:gridCol w:w="6371"/>
      </w:tblGrid>
      <w:tr w:rsidR="00C17B7B" w:rsidRPr="00C73E99" w14:paraId="060AE6C1" w14:textId="77777777" w:rsidTr="003B10E7">
        <w:tc>
          <w:tcPr>
            <w:tcW w:w="2689" w:type="dxa"/>
          </w:tcPr>
          <w:p w14:paraId="0703CB6D" w14:textId="77777777" w:rsidR="00C17B7B" w:rsidRPr="00C73E99" w:rsidRDefault="00C17B7B" w:rsidP="00C17B7B">
            <w:pPr>
              <w:spacing w:before="120" w:after="120"/>
              <w:rPr>
                <w:b/>
                <w:i/>
              </w:rPr>
            </w:pPr>
            <w:r w:rsidRPr="00C73E99">
              <w:rPr>
                <w:b/>
                <w:i/>
              </w:rPr>
              <w:t>Accepted IUBMB</w:t>
            </w:r>
            <w:r w:rsidRPr="00C73E99">
              <w:rPr>
                <w:b/>
                <w:i/>
                <w:vertAlign w:val="superscript"/>
              </w:rPr>
              <w:footnoteReference w:id="2"/>
            </w:r>
            <w:r w:rsidRPr="00C73E99">
              <w:rPr>
                <w:b/>
                <w:i/>
              </w:rPr>
              <w:t xml:space="preserve"> name:</w:t>
            </w:r>
          </w:p>
        </w:tc>
        <w:tc>
          <w:tcPr>
            <w:tcW w:w="6371" w:type="dxa"/>
          </w:tcPr>
          <w:p w14:paraId="379FBC63" w14:textId="48545BEE" w:rsidR="00C17B7B" w:rsidRPr="00C73E99" w:rsidRDefault="00F7411E" w:rsidP="00C5160A">
            <w:pPr>
              <w:spacing w:before="120" w:after="120"/>
            </w:pPr>
            <w:r w:rsidRPr="00C73E99">
              <w:t xml:space="preserve">α-amylase </w:t>
            </w:r>
          </w:p>
        </w:tc>
      </w:tr>
      <w:tr w:rsidR="00C17B7B" w:rsidRPr="00C73E99" w14:paraId="1D230DA6" w14:textId="77777777" w:rsidTr="003B10E7">
        <w:tc>
          <w:tcPr>
            <w:tcW w:w="2689" w:type="dxa"/>
          </w:tcPr>
          <w:p w14:paraId="6B4323D9" w14:textId="77777777" w:rsidR="00C17B7B" w:rsidRPr="00C73E99" w:rsidRDefault="00C17B7B" w:rsidP="00C17B7B">
            <w:pPr>
              <w:spacing w:before="120" w:after="120"/>
              <w:rPr>
                <w:b/>
                <w:i/>
              </w:rPr>
            </w:pPr>
            <w:r w:rsidRPr="00C73E99">
              <w:rPr>
                <w:b/>
                <w:i/>
              </w:rPr>
              <w:t>Systematic name:</w:t>
            </w:r>
          </w:p>
        </w:tc>
        <w:tc>
          <w:tcPr>
            <w:tcW w:w="6371" w:type="dxa"/>
          </w:tcPr>
          <w:p w14:paraId="09C31C58" w14:textId="67BE694B" w:rsidR="00C17B7B" w:rsidRPr="00C73E99" w:rsidRDefault="00F7411E" w:rsidP="00C17B7B">
            <w:pPr>
              <w:spacing w:before="120" w:after="120"/>
            </w:pPr>
            <w:r w:rsidRPr="00C73E99">
              <w:t>4-α-</w:t>
            </w:r>
            <w:r w:rsidRPr="00C73E99">
              <w:rPr>
                <w:sz w:val="20"/>
                <w:szCs w:val="20"/>
              </w:rPr>
              <w:t>D</w:t>
            </w:r>
            <w:r w:rsidRPr="00C73E99">
              <w:t>-glucan glucanohydrolase</w:t>
            </w:r>
          </w:p>
        </w:tc>
      </w:tr>
      <w:tr w:rsidR="00C17B7B" w:rsidRPr="00C73E99" w14:paraId="0FBC13F7" w14:textId="77777777" w:rsidTr="003B10E7">
        <w:tc>
          <w:tcPr>
            <w:tcW w:w="2689" w:type="dxa"/>
          </w:tcPr>
          <w:p w14:paraId="64CF5D30" w14:textId="77777777" w:rsidR="00C17B7B" w:rsidRPr="00C73E99" w:rsidRDefault="00C17B7B" w:rsidP="00C17B7B">
            <w:pPr>
              <w:spacing w:before="120" w:after="120"/>
              <w:rPr>
                <w:b/>
                <w:i/>
              </w:rPr>
            </w:pPr>
            <w:r w:rsidRPr="00C73E99">
              <w:rPr>
                <w:b/>
                <w:i/>
              </w:rPr>
              <w:t>Other names:</w:t>
            </w:r>
            <w:r w:rsidRPr="00C73E99">
              <w:rPr>
                <w:b/>
                <w:i/>
              </w:rPr>
              <w:tab/>
            </w:r>
          </w:p>
        </w:tc>
        <w:tc>
          <w:tcPr>
            <w:tcW w:w="6371" w:type="dxa"/>
          </w:tcPr>
          <w:p w14:paraId="0236EA03" w14:textId="4164A7DB" w:rsidR="00C17B7B" w:rsidRPr="00C73E99" w:rsidRDefault="00C73E99" w:rsidP="00C5160A">
            <w:pPr>
              <w:spacing w:before="120" w:after="120"/>
            </w:pPr>
            <w:r w:rsidRPr="00C73E99">
              <w:t xml:space="preserve">glycogenase; </w:t>
            </w:r>
            <w:r w:rsidR="00C5160A">
              <w:t>e</w:t>
            </w:r>
            <w:r w:rsidRPr="00C73E99">
              <w:t>ndoamylase; Taka-amylase A; 1,4-α-</w:t>
            </w:r>
            <w:r w:rsidRPr="00C73E99">
              <w:rPr>
                <w:sz w:val="20"/>
                <w:szCs w:val="20"/>
              </w:rPr>
              <w:t>D</w:t>
            </w:r>
            <w:r w:rsidRPr="00C73E99">
              <w:t>-glucan glucanohydrolase</w:t>
            </w:r>
          </w:p>
        </w:tc>
      </w:tr>
      <w:tr w:rsidR="00C17B7B" w:rsidRPr="00C73E99" w14:paraId="58869EF8" w14:textId="77777777" w:rsidTr="003B10E7">
        <w:tc>
          <w:tcPr>
            <w:tcW w:w="2689" w:type="dxa"/>
          </w:tcPr>
          <w:p w14:paraId="3D5697EA" w14:textId="77777777" w:rsidR="00C17B7B" w:rsidRPr="00C73E99" w:rsidRDefault="00C17B7B" w:rsidP="00C17B7B">
            <w:pPr>
              <w:spacing w:before="120" w:after="120"/>
              <w:rPr>
                <w:b/>
                <w:i/>
              </w:rPr>
            </w:pPr>
            <w:r w:rsidRPr="00C73E99">
              <w:rPr>
                <w:b/>
                <w:i/>
              </w:rPr>
              <w:t>EC number:</w:t>
            </w:r>
            <w:r w:rsidRPr="00C73E99">
              <w:rPr>
                <w:b/>
                <w:i/>
              </w:rPr>
              <w:tab/>
            </w:r>
          </w:p>
        </w:tc>
        <w:tc>
          <w:tcPr>
            <w:tcW w:w="6371" w:type="dxa"/>
          </w:tcPr>
          <w:p w14:paraId="3E0ECACB" w14:textId="54B86BAD" w:rsidR="00C17B7B" w:rsidRPr="00C73E99" w:rsidRDefault="00C73E99" w:rsidP="00C17B7B">
            <w:pPr>
              <w:spacing w:before="120" w:after="120"/>
            </w:pPr>
            <w:r w:rsidRPr="00C73E99">
              <w:t>3.2.1.1</w:t>
            </w:r>
          </w:p>
        </w:tc>
      </w:tr>
      <w:tr w:rsidR="00C17B7B" w:rsidRPr="00C73E99" w14:paraId="7115AA36" w14:textId="77777777" w:rsidTr="003B10E7">
        <w:tc>
          <w:tcPr>
            <w:tcW w:w="2689" w:type="dxa"/>
          </w:tcPr>
          <w:p w14:paraId="3F8D6609" w14:textId="77777777" w:rsidR="00C17B7B" w:rsidRPr="00C73E99" w:rsidRDefault="00C17B7B" w:rsidP="00C17B7B">
            <w:pPr>
              <w:spacing w:before="120" w:after="120"/>
              <w:rPr>
                <w:b/>
                <w:i/>
              </w:rPr>
            </w:pPr>
            <w:r w:rsidRPr="00C73E99">
              <w:rPr>
                <w:b/>
                <w:i/>
              </w:rPr>
              <w:t>Reaction:</w:t>
            </w:r>
          </w:p>
        </w:tc>
        <w:tc>
          <w:tcPr>
            <w:tcW w:w="6371" w:type="dxa"/>
          </w:tcPr>
          <w:p w14:paraId="2E904E39" w14:textId="3F277AF0" w:rsidR="00C17B7B" w:rsidRPr="00C73E99" w:rsidRDefault="00C73E99" w:rsidP="00C17B7B">
            <w:pPr>
              <w:spacing w:before="120" w:after="120"/>
            </w:pPr>
            <w:r w:rsidRPr="00C73E99">
              <w:t>Endohydrolysis of (1→4)-α-</w:t>
            </w:r>
            <w:r w:rsidRPr="00C73E99">
              <w:rPr>
                <w:sz w:val="20"/>
                <w:szCs w:val="20"/>
              </w:rPr>
              <w:t>D</w:t>
            </w:r>
            <w:r w:rsidRPr="00C73E99">
              <w:t xml:space="preserve">-glucosidic linkages in polysaccharides containing three or more (1→4)-α-linked </w:t>
            </w:r>
            <w:r w:rsidRPr="00C73E99">
              <w:rPr>
                <w:sz w:val="20"/>
                <w:szCs w:val="20"/>
              </w:rPr>
              <w:t>D</w:t>
            </w:r>
            <w:r w:rsidRPr="00C73E99">
              <w:t>-glucose units</w:t>
            </w:r>
          </w:p>
        </w:tc>
      </w:tr>
    </w:tbl>
    <w:p w14:paraId="672FBAB9" w14:textId="77777777" w:rsidR="00C17B7B" w:rsidRPr="00412FD9" w:rsidRDefault="00C17B7B" w:rsidP="00C17B7B">
      <w:pPr>
        <w:rPr>
          <w:lang w:eastAsia="en-AU" w:bidi="ar-SA"/>
        </w:rPr>
      </w:pPr>
    </w:p>
    <w:p w14:paraId="3476CF43" w14:textId="67DB4B1B" w:rsidR="00C17B7B" w:rsidRPr="00412FD9" w:rsidRDefault="00C17B7B" w:rsidP="00A73810">
      <w:pPr>
        <w:widowControl/>
        <w:autoSpaceDE w:val="0"/>
        <w:autoSpaceDN w:val="0"/>
        <w:adjustRightInd w:val="0"/>
        <w:rPr>
          <w:lang w:eastAsia="en-AU" w:bidi="ar-SA"/>
        </w:rPr>
      </w:pPr>
      <w:r w:rsidRPr="00412FD9">
        <w:rPr>
          <w:szCs w:val="22"/>
        </w:rPr>
        <w:t xml:space="preserve">For the representation of the </w:t>
      </w:r>
      <w:r w:rsidR="00412FD9" w:rsidRPr="00412FD9">
        <w:rPr>
          <w:szCs w:val="22"/>
        </w:rPr>
        <w:t>endo</w:t>
      </w:r>
      <w:r w:rsidRPr="00412FD9">
        <w:rPr>
          <w:szCs w:val="22"/>
        </w:rPr>
        <w:t xml:space="preserve">hydrolysis reaction of </w:t>
      </w:r>
      <w:r w:rsidR="00412FD9" w:rsidRPr="00412FD9">
        <w:t>(1→4)-α-</w:t>
      </w:r>
      <w:r w:rsidR="00412FD9" w:rsidRPr="00412FD9">
        <w:rPr>
          <w:sz w:val="20"/>
          <w:szCs w:val="20"/>
        </w:rPr>
        <w:t>D</w:t>
      </w:r>
      <w:r w:rsidR="00412FD9" w:rsidRPr="00412FD9">
        <w:t xml:space="preserve">-glucosidic linkages </w:t>
      </w:r>
      <w:r w:rsidRPr="00412FD9">
        <w:rPr>
          <w:szCs w:val="22"/>
          <w:lang w:eastAsia="en-AU" w:bidi="ar-SA"/>
        </w:rPr>
        <w:t xml:space="preserve">catalysed by </w:t>
      </w:r>
      <w:r w:rsidR="00412FD9" w:rsidRPr="00412FD9">
        <w:rPr>
          <w:szCs w:val="22"/>
          <w:lang w:eastAsia="en-AU" w:bidi="ar-SA"/>
        </w:rPr>
        <w:t xml:space="preserve">alpha-amyalse, </w:t>
      </w:r>
      <w:r w:rsidRPr="00412FD9">
        <w:rPr>
          <w:szCs w:val="22"/>
          <w:lang w:eastAsia="en-AU" w:bidi="ar-SA"/>
        </w:rPr>
        <w:t>refer to BRENDA</w:t>
      </w:r>
      <w:r w:rsidR="00F93182">
        <w:rPr>
          <w:rStyle w:val="FootnoteReference"/>
          <w:szCs w:val="22"/>
          <w:lang w:eastAsia="en-AU" w:bidi="ar-SA"/>
        </w:rPr>
        <w:footnoteReference w:id="3"/>
      </w:r>
      <w:r w:rsidRPr="00412FD9">
        <w:rPr>
          <w:szCs w:val="22"/>
          <w:lang w:eastAsia="en-AU" w:bidi="ar-SA"/>
        </w:rPr>
        <w:t xml:space="preserve"> </w:t>
      </w:r>
      <w:r w:rsidR="00F93182">
        <w:rPr>
          <w:szCs w:val="22"/>
          <w:lang w:eastAsia="en-AU" w:bidi="ar-SA"/>
        </w:rPr>
        <w:t>(Chang et al</w:t>
      </w:r>
      <w:r w:rsidR="00B26C7E">
        <w:rPr>
          <w:szCs w:val="22"/>
          <w:lang w:eastAsia="en-AU" w:bidi="ar-SA"/>
        </w:rPr>
        <w:t>.,</w:t>
      </w:r>
      <w:r w:rsidR="00F93182">
        <w:rPr>
          <w:szCs w:val="22"/>
          <w:lang w:eastAsia="en-AU" w:bidi="ar-SA"/>
        </w:rPr>
        <w:t xml:space="preserve"> 2021)</w:t>
      </w:r>
      <w:r w:rsidRPr="00412FD9">
        <w:rPr>
          <w:szCs w:val="22"/>
          <w:lang w:eastAsia="en-AU" w:bidi="ar-SA"/>
        </w:rPr>
        <w:t>.</w:t>
      </w:r>
    </w:p>
    <w:p w14:paraId="1B6435E5" w14:textId="18EFA820" w:rsidR="001E6A7B" w:rsidRPr="00A92B6C" w:rsidRDefault="001E6A7B" w:rsidP="00EF6B4F">
      <w:pPr>
        <w:pStyle w:val="Heading2"/>
      </w:pPr>
      <w:bookmarkStart w:id="17" w:name="_Toc98407520"/>
      <w:bookmarkStart w:id="18" w:name="_Toc103064639"/>
      <w:r w:rsidRPr="00A92B6C">
        <w:t>2.2</w:t>
      </w:r>
      <w:r w:rsidRPr="00A92B6C">
        <w:tab/>
        <w:t>Manufacturing process</w:t>
      </w:r>
      <w:bookmarkEnd w:id="17"/>
      <w:bookmarkEnd w:id="18"/>
    </w:p>
    <w:p w14:paraId="6E74515A" w14:textId="6B3CAD74" w:rsidR="001E6A7B" w:rsidRDefault="0035149D" w:rsidP="009925D0">
      <w:pPr>
        <w:pStyle w:val="Heading3"/>
      </w:pPr>
      <w:r w:rsidRPr="00A92B6C">
        <w:t>2.2.1</w:t>
      </w:r>
      <w:r w:rsidRPr="00A92B6C">
        <w:tab/>
        <w:t>P</w:t>
      </w:r>
      <w:r w:rsidR="001E6A7B" w:rsidRPr="00A92B6C">
        <w:t>roduction of the enzyme</w:t>
      </w:r>
    </w:p>
    <w:p w14:paraId="7B9C2E31" w14:textId="671CE711" w:rsidR="00913964" w:rsidRDefault="002B4811" w:rsidP="00913964">
      <w:pPr>
        <w:rPr>
          <w:rFonts w:eastAsia="Calibri" w:cs="Arial"/>
          <w:szCs w:val="22"/>
          <w:lang w:bidi="ar-SA"/>
        </w:rPr>
      </w:pPr>
      <w:r>
        <w:rPr>
          <w:lang w:eastAsia="en-AU" w:bidi="ar-SA"/>
        </w:rPr>
        <w:t>The enzyme is produced</w:t>
      </w:r>
      <w:r w:rsidR="00224098">
        <w:rPr>
          <w:lang w:eastAsia="en-AU" w:bidi="ar-SA"/>
        </w:rPr>
        <w:t xml:space="preserve"> </w:t>
      </w:r>
      <w:r>
        <w:rPr>
          <w:lang w:eastAsia="en-AU" w:bidi="ar-SA"/>
        </w:rPr>
        <w:t xml:space="preserve">by submerged fermentation of the genetically modified strain of </w:t>
      </w:r>
      <w:r w:rsidRPr="003B10E7">
        <w:rPr>
          <w:rFonts w:eastAsia="Calibri" w:cs="Arial"/>
          <w:i/>
          <w:szCs w:val="22"/>
          <w:lang w:bidi="ar-SA"/>
        </w:rPr>
        <w:t>B. licheniformis</w:t>
      </w:r>
      <w:r>
        <w:rPr>
          <w:rFonts w:eastAsia="Calibri" w:cs="Arial"/>
          <w:i/>
          <w:szCs w:val="22"/>
          <w:lang w:bidi="ar-SA"/>
        </w:rPr>
        <w:t xml:space="preserve">. </w:t>
      </w:r>
      <w:r w:rsidRPr="00892249">
        <w:rPr>
          <w:rFonts w:eastAsia="Calibri" w:cs="Arial"/>
          <w:szCs w:val="22"/>
          <w:lang w:bidi="ar-SA"/>
        </w:rPr>
        <w:t>The fermentation steps are propagation of the culture</w:t>
      </w:r>
      <w:r>
        <w:rPr>
          <w:rFonts w:eastAsia="Calibri" w:cs="Arial"/>
          <w:szCs w:val="22"/>
          <w:lang w:bidi="ar-SA"/>
        </w:rPr>
        <w:t xml:space="preserve"> (inoculation)</w:t>
      </w:r>
      <w:r w:rsidRPr="00892249">
        <w:rPr>
          <w:rFonts w:eastAsia="Calibri" w:cs="Arial"/>
          <w:szCs w:val="22"/>
          <w:lang w:bidi="ar-SA"/>
        </w:rPr>
        <w:t xml:space="preserve">, seed fermentation </w:t>
      </w:r>
      <w:r w:rsidRPr="000A38C8">
        <w:rPr>
          <w:rFonts w:eastAsia="Calibri" w:cs="Arial"/>
          <w:szCs w:val="22"/>
          <w:lang w:bidi="ar-SA"/>
        </w:rPr>
        <w:t>and main</w:t>
      </w:r>
      <w:r w:rsidR="00224098" w:rsidRPr="000A38C8">
        <w:rPr>
          <w:rFonts w:eastAsia="Calibri" w:cs="Arial"/>
          <w:szCs w:val="22"/>
          <w:lang w:bidi="ar-SA"/>
        </w:rPr>
        <w:t xml:space="preserve"> </w:t>
      </w:r>
      <w:r w:rsidRPr="000A38C8">
        <w:rPr>
          <w:rFonts w:eastAsia="Calibri" w:cs="Arial"/>
          <w:szCs w:val="22"/>
          <w:lang w:bidi="ar-SA"/>
        </w:rPr>
        <w:t>fermentation</w:t>
      </w:r>
      <w:r w:rsidRPr="00892249">
        <w:rPr>
          <w:rFonts w:eastAsia="Calibri" w:cs="Arial"/>
          <w:szCs w:val="22"/>
          <w:lang w:bidi="ar-SA"/>
        </w:rPr>
        <w:t>.</w:t>
      </w:r>
      <w:r>
        <w:rPr>
          <w:rFonts w:eastAsia="Calibri" w:cs="Arial"/>
          <w:i/>
          <w:szCs w:val="22"/>
          <w:lang w:bidi="ar-SA"/>
        </w:rPr>
        <w:t xml:space="preserve"> </w:t>
      </w:r>
      <w:r>
        <w:rPr>
          <w:rFonts w:eastAsia="Calibri" w:cs="Arial"/>
          <w:szCs w:val="22"/>
          <w:lang w:bidi="ar-SA"/>
        </w:rPr>
        <w:t xml:space="preserve">A recovery stage follows fermentation, to separate the biomass and to purify, concentrate and stabilise the enzyme. The </w:t>
      </w:r>
      <w:r w:rsidRPr="003561F5">
        <w:rPr>
          <w:rFonts w:eastAsia="Calibri" w:cs="Arial"/>
          <w:szCs w:val="22"/>
          <w:lang w:bidi="ar-SA"/>
        </w:rPr>
        <w:t>enzyme is concentrated via ultrafiltration</w:t>
      </w:r>
      <w:r>
        <w:rPr>
          <w:rFonts w:eastAsia="Calibri" w:cs="Arial"/>
          <w:szCs w:val="22"/>
          <w:lang w:bidi="ar-SA"/>
        </w:rPr>
        <w:t xml:space="preserve"> to remove</w:t>
      </w:r>
      <w:r w:rsidRPr="003561F5">
        <w:rPr>
          <w:rFonts w:eastAsia="Calibri" w:cs="Arial"/>
          <w:szCs w:val="22"/>
          <w:lang w:bidi="ar-SA"/>
        </w:rPr>
        <w:t xml:space="preserve"> low molecular weight compounds</w:t>
      </w:r>
      <w:r>
        <w:rPr>
          <w:rFonts w:eastAsia="Calibri" w:cs="Arial"/>
          <w:szCs w:val="22"/>
          <w:lang w:bidi="ar-SA"/>
        </w:rPr>
        <w:t xml:space="preserve">. </w:t>
      </w:r>
      <w:r w:rsidRPr="003561F5">
        <w:rPr>
          <w:rFonts w:eastAsia="Calibri" w:cs="Arial"/>
          <w:szCs w:val="22"/>
          <w:lang w:bidi="ar-SA"/>
        </w:rPr>
        <w:t xml:space="preserve">The </w:t>
      </w:r>
      <w:r>
        <w:rPr>
          <w:rFonts w:eastAsia="Calibri" w:cs="Arial"/>
          <w:szCs w:val="22"/>
          <w:lang w:bidi="ar-SA"/>
        </w:rPr>
        <w:t>enzyme concentrate is then formulated into the</w:t>
      </w:r>
      <w:r w:rsidRPr="003561F5">
        <w:rPr>
          <w:rFonts w:eastAsia="Calibri" w:cs="Arial"/>
          <w:szCs w:val="22"/>
          <w:lang w:bidi="ar-SA"/>
        </w:rPr>
        <w:t xml:space="preserve"> enzyme preparation</w:t>
      </w:r>
      <w:r w:rsidR="00C72E88">
        <w:rPr>
          <w:rStyle w:val="FootnoteReference"/>
          <w:rFonts w:eastAsia="Calibri" w:cs="Arial"/>
          <w:szCs w:val="22"/>
          <w:lang w:bidi="ar-SA"/>
        </w:rPr>
        <w:footnoteReference w:id="4"/>
      </w:r>
      <w:r w:rsidRPr="003561F5">
        <w:rPr>
          <w:rFonts w:eastAsia="Calibri" w:cs="Arial"/>
          <w:szCs w:val="22"/>
          <w:lang w:bidi="ar-SA"/>
        </w:rPr>
        <w:t xml:space="preserve"> and </w:t>
      </w:r>
      <w:r>
        <w:rPr>
          <w:rFonts w:eastAsia="Calibri" w:cs="Arial"/>
          <w:szCs w:val="22"/>
          <w:lang w:bidi="ar-SA"/>
        </w:rPr>
        <w:t>packaged</w:t>
      </w:r>
      <w:r w:rsidR="0056664C">
        <w:rPr>
          <w:rFonts w:eastAsia="Calibri" w:cs="Arial"/>
          <w:szCs w:val="22"/>
          <w:lang w:bidi="ar-SA"/>
        </w:rPr>
        <w:t>.</w:t>
      </w:r>
      <w:r w:rsidR="00913964" w:rsidRPr="00913964">
        <w:rPr>
          <w:rFonts w:eastAsia="Calibri" w:cs="Arial"/>
          <w:szCs w:val="22"/>
          <w:lang w:bidi="ar-SA"/>
        </w:rPr>
        <w:t xml:space="preserve"> </w:t>
      </w:r>
      <w:r w:rsidR="00913964">
        <w:rPr>
          <w:rFonts w:eastAsia="Calibri" w:cs="Arial"/>
          <w:szCs w:val="22"/>
          <w:lang w:bidi="ar-SA"/>
        </w:rPr>
        <w:t>The applicant states that production of the enzyme is done in accordance with Good Manufacturing Practice (GMP)</w:t>
      </w:r>
      <w:r>
        <w:rPr>
          <w:rFonts w:eastAsia="Calibri" w:cs="Arial"/>
          <w:szCs w:val="22"/>
          <w:lang w:bidi="ar-SA"/>
        </w:rPr>
        <w:t xml:space="preserve">. </w:t>
      </w:r>
      <w:r w:rsidR="00224098" w:rsidRPr="00224098">
        <w:rPr>
          <w:rFonts w:eastAsia="Calibri" w:cs="Arial"/>
          <w:szCs w:val="22"/>
          <w:lang w:bidi="ar-SA"/>
        </w:rPr>
        <w:t xml:space="preserve">A manufacturing flow-chart was provided </w:t>
      </w:r>
      <w:r w:rsidR="00A55B65">
        <w:rPr>
          <w:rFonts w:eastAsia="Calibri" w:cs="Arial"/>
          <w:szCs w:val="22"/>
          <w:lang w:bidi="ar-SA"/>
        </w:rPr>
        <w:t>in an appendix</w:t>
      </w:r>
      <w:r w:rsidR="00224098" w:rsidRPr="00224098">
        <w:rPr>
          <w:rFonts w:eastAsia="Calibri" w:cs="Arial"/>
          <w:szCs w:val="22"/>
          <w:lang w:bidi="ar-SA"/>
        </w:rPr>
        <w:t xml:space="preserve"> </w:t>
      </w:r>
      <w:r w:rsidR="00A55B65">
        <w:rPr>
          <w:rFonts w:eastAsia="Calibri" w:cs="Arial"/>
          <w:szCs w:val="22"/>
          <w:lang w:bidi="ar-SA"/>
        </w:rPr>
        <w:t>to the app</w:t>
      </w:r>
      <w:r w:rsidR="00224098" w:rsidRPr="00224098">
        <w:rPr>
          <w:rFonts w:eastAsia="Calibri" w:cs="Arial"/>
          <w:szCs w:val="22"/>
          <w:lang w:bidi="ar-SA"/>
        </w:rPr>
        <w:t>lication.</w:t>
      </w:r>
      <w:r w:rsidR="000663D3">
        <w:rPr>
          <w:rFonts w:eastAsia="Calibri" w:cs="Arial"/>
          <w:szCs w:val="22"/>
          <w:lang w:bidi="ar-SA"/>
        </w:rPr>
        <w:t xml:space="preserve"> </w:t>
      </w:r>
      <w:r w:rsidR="00913964">
        <w:rPr>
          <w:rFonts w:eastAsia="Calibri" w:cs="Arial"/>
          <w:szCs w:val="22"/>
          <w:lang w:bidi="ar-SA"/>
        </w:rPr>
        <w:t>Further d</w:t>
      </w:r>
      <w:r w:rsidR="00913964" w:rsidRPr="00913964">
        <w:rPr>
          <w:rFonts w:eastAsia="Calibri" w:cs="Arial"/>
          <w:szCs w:val="22"/>
          <w:lang w:bidi="ar-SA"/>
        </w:rPr>
        <w:t>etails on the manufacturing process, raw materials and ingredients used in the production of the enzyme preparation</w:t>
      </w:r>
      <w:r w:rsidR="00913964">
        <w:rPr>
          <w:rFonts w:eastAsia="Calibri" w:cs="Arial"/>
          <w:szCs w:val="22"/>
          <w:lang w:bidi="ar-SA"/>
        </w:rPr>
        <w:t>s</w:t>
      </w:r>
      <w:r w:rsidR="00913964" w:rsidRPr="00913964">
        <w:rPr>
          <w:rFonts w:eastAsia="Calibri" w:cs="Arial"/>
          <w:szCs w:val="22"/>
          <w:lang w:bidi="ar-SA"/>
        </w:rPr>
        <w:t xml:space="preserve"> were provided</w:t>
      </w:r>
      <w:r w:rsidR="00131E5F">
        <w:rPr>
          <w:rFonts w:eastAsia="Calibri" w:cs="Arial"/>
          <w:szCs w:val="22"/>
          <w:lang w:bidi="ar-SA"/>
        </w:rPr>
        <w:t xml:space="preserve"> </w:t>
      </w:r>
      <w:r w:rsidR="00913964" w:rsidRPr="00913964">
        <w:rPr>
          <w:rFonts w:eastAsia="Calibri" w:cs="Arial"/>
          <w:szCs w:val="22"/>
          <w:lang w:bidi="ar-SA"/>
        </w:rPr>
        <w:t>as Confidential Commercial Information</w:t>
      </w:r>
      <w:r w:rsidR="00913964">
        <w:rPr>
          <w:rFonts w:eastAsia="Calibri" w:cs="Arial"/>
          <w:szCs w:val="22"/>
          <w:lang w:bidi="ar-SA"/>
        </w:rPr>
        <w:t xml:space="preserve"> (CCI). </w:t>
      </w:r>
    </w:p>
    <w:p w14:paraId="68730389" w14:textId="34E2600E" w:rsidR="002B4811" w:rsidRDefault="002B4811" w:rsidP="002B4811">
      <w:pPr>
        <w:rPr>
          <w:rFonts w:eastAsia="Calibri" w:cs="Arial"/>
          <w:szCs w:val="22"/>
          <w:lang w:bidi="ar-SA"/>
        </w:rPr>
      </w:pPr>
    </w:p>
    <w:p w14:paraId="0EA60AC8" w14:textId="135A63DE" w:rsidR="005037D1" w:rsidRDefault="00131E5F" w:rsidP="002B4811">
      <w:pPr>
        <w:rPr>
          <w:lang w:eastAsia="en-AU" w:bidi="ar-SA"/>
        </w:rPr>
      </w:pPr>
      <w:r>
        <w:rPr>
          <w:lang w:eastAsia="en-AU" w:bidi="ar-SA"/>
        </w:rPr>
        <w:t xml:space="preserve">The applicant provided an allergen declaration for the enzyme concentrate as an appendix to the application. The declaration indicates that wheat and soybeans could be present in the enzyme concentrate, from dextrose and soy flour used during fermentation. </w:t>
      </w:r>
    </w:p>
    <w:p w14:paraId="0D830194" w14:textId="2224C1E9" w:rsidR="001E6A7B" w:rsidRDefault="001E6A7B" w:rsidP="009925D0">
      <w:pPr>
        <w:pStyle w:val="Heading3"/>
      </w:pPr>
      <w:r w:rsidRPr="00A92B6C">
        <w:t>2.2.2</w:t>
      </w:r>
      <w:r w:rsidR="0035149D" w:rsidRPr="00A92B6C">
        <w:tab/>
      </w:r>
      <w:r w:rsidRPr="00A92B6C">
        <w:t>Specifications</w:t>
      </w:r>
    </w:p>
    <w:p w14:paraId="772FD950" w14:textId="09AAFCA6" w:rsidR="00E56177" w:rsidRDefault="00E56177" w:rsidP="00E56177">
      <w:pPr>
        <w:rPr>
          <w:lang w:eastAsia="en-AU" w:bidi="ar-SA"/>
        </w:rPr>
      </w:pPr>
      <w:r w:rsidRPr="00E56177">
        <w:rPr>
          <w:lang w:eastAsia="en-AU" w:bidi="ar-SA"/>
        </w:rPr>
        <w:t>There are international specifications for enzyme preparations used in the production of food. These have been established by the Joint FAO/WHO Expert Committee on Food Additives (JECFA) in its Compendium of Food Additive Specifications</w:t>
      </w:r>
      <w:r w:rsidR="008E6802">
        <w:rPr>
          <w:lang w:eastAsia="en-AU" w:bidi="ar-SA"/>
        </w:rPr>
        <w:t xml:space="preserve"> (FAO/WHO 2006)</w:t>
      </w:r>
      <w:r w:rsidRPr="00E56177">
        <w:rPr>
          <w:lang w:eastAsia="en-AU" w:bidi="ar-SA"/>
        </w:rPr>
        <w:t xml:space="preserve"> and in the Food Chemicals Codex (FCC</w:t>
      </w:r>
      <w:r w:rsidR="008E6802">
        <w:rPr>
          <w:lang w:eastAsia="en-AU" w:bidi="ar-SA"/>
        </w:rPr>
        <w:t xml:space="preserve"> 2008</w:t>
      </w:r>
      <w:r w:rsidRPr="00E56177">
        <w:rPr>
          <w:lang w:eastAsia="en-AU" w:bidi="ar-SA"/>
        </w:rPr>
        <w:t>). These specifications are included in the primary sources listed in section S3—2 of Schedule 3 of the Code and enzymes used as a processing aid must meet either of these specifications. Schedule 3 of the Code also includes specifications for arsenic and heavy metals (section S3—4) if they are not already detailed within specifications in sections S3—2 or S3—3.</w:t>
      </w:r>
    </w:p>
    <w:p w14:paraId="76F7921C" w14:textId="110B7CC6" w:rsidR="00450631" w:rsidRDefault="00450631" w:rsidP="00E56177">
      <w:pPr>
        <w:rPr>
          <w:lang w:eastAsia="en-AU" w:bidi="ar-SA"/>
        </w:rPr>
      </w:pPr>
    </w:p>
    <w:p w14:paraId="20ABC868" w14:textId="3DDC010A" w:rsidR="00450631" w:rsidRPr="001E459C" w:rsidRDefault="00450631" w:rsidP="00450631">
      <w:pPr>
        <w:rPr>
          <w:lang w:eastAsia="en-AU" w:bidi="ar-SA"/>
        </w:rPr>
      </w:pPr>
      <w:r w:rsidRPr="00450631">
        <w:rPr>
          <w:lang w:eastAsia="en-AU" w:bidi="ar-SA"/>
        </w:rPr>
        <w:lastRenderedPageBreak/>
        <w:t>The applicant provided the results of analysis of three different batches</w:t>
      </w:r>
      <w:r>
        <w:rPr>
          <w:lang w:eastAsia="en-AU" w:bidi="ar-SA"/>
        </w:rPr>
        <w:t xml:space="preserve"> of their enzyme preparation Spezyme SL. </w:t>
      </w:r>
      <w:r w:rsidRPr="00B10AD2">
        <w:rPr>
          <w:lang w:eastAsia="en-AU" w:bidi="ar-SA"/>
        </w:rPr>
        <w:t>Table 2 provides a comparison of the analyses with international specifications established by JECFA and Food Chemicals Codex, as well as those in the Code (as applicable</w:t>
      </w:r>
      <w:r w:rsidRPr="001E459C">
        <w:rPr>
          <w:lang w:eastAsia="en-AU" w:bidi="ar-SA"/>
        </w:rPr>
        <w:t>). Based on these results, the enzyme preparation met all relevant specifications for arsenic</w:t>
      </w:r>
      <w:r w:rsidR="001E459C">
        <w:rPr>
          <w:lang w:eastAsia="en-AU" w:bidi="ar-SA"/>
        </w:rPr>
        <w:t xml:space="preserve"> and </w:t>
      </w:r>
      <w:r w:rsidRPr="001E459C">
        <w:rPr>
          <w:lang w:eastAsia="en-AU" w:bidi="ar-SA"/>
        </w:rPr>
        <w:t>metals and the microbiological criteria.</w:t>
      </w:r>
    </w:p>
    <w:p w14:paraId="7933F467" w14:textId="77777777" w:rsidR="00450631" w:rsidRPr="001E459C" w:rsidRDefault="00450631" w:rsidP="00450631">
      <w:pPr>
        <w:rPr>
          <w:lang w:eastAsia="en-AU" w:bidi="ar-SA"/>
        </w:rPr>
      </w:pPr>
    </w:p>
    <w:p w14:paraId="5933FD37" w14:textId="62C5FCCE" w:rsidR="00450631" w:rsidRPr="001E459C" w:rsidRDefault="00450631" w:rsidP="00450631">
      <w:pPr>
        <w:pStyle w:val="FSTableTitle"/>
        <w:keepNext/>
        <w:keepLines/>
        <w:spacing w:after="240"/>
        <w:ind w:left="1134" w:hanging="1134"/>
        <w:rPr>
          <w:b w:val="0"/>
          <w:i/>
          <w:sz w:val="24"/>
        </w:rPr>
      </w:pPr>
      <w:r w:rsidRPr="001E459C">
        <w:rPr>
          <w:i/>
        </w:rPr>
        <w:t>Table 2</w:t>
      </w:r>
      <w:r w:rsidRPr="001E459C">
        <w:rPr>
          <w:i/>
          <w:szCs w:val="20"/>
        </w:rPr>
        <w:tab/>
      </w:r>
      <w:r w:rsidRPr="001E459C">
        <w:rPr>
          <w:b w:val="0"/>
          <w:i/>
        </w:rPr>
        <w:t xml:space="preserve">Comparison of </w:t>
      </w:r>
      <w:r w:rsidR="001E459C" w:rsidRPr="001E459C">
        <w:rPr>
          <w:b w:val="0"/>
          <w:i/>
        </w:rPr>
        <w:t xml:space="preserve">the applicant’s Spezyme SL enzyme </w:t>
      </w:r>
      <w:r w:rsidRPr="001E459C">
        <w:rPr>
          <w:b w:val="0"/>
          <w:i/>
        </w:rPr>
        <w:t xml:space="preserve">preparation compared to JECFA, Food Chemicals Codex, and Code specifications for enzymes </w:t>
      </w:r>
    </w:p>
    <w:tbl>
      <w:tblPr>
        <w:tblStyle w:val="TableClassic42"/>
        <w:tblW w:w="9072" w:type="dxa"/>
        <w:tblInd w:w="0"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268"/>
        <w:gridCol w:w="1731"/>
        <w:gridCol w:w="1671"/>
        <w:gridCol w:w="1594"/>
        <w:gridCol w:w="1808"/>
      </w:tblGrid>
      <w:tr w:rsidR="001E459C" w:rsidRPr="001E459C" w14:paraId="569CBE2D" w14:textId="77777777" w:rsidTr="00AE71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tcBorders>
              <w:top w:val="nil"/>
              <w:left w:val="nil"/>
              <w:bottom w:val="single" w:sz="6" w:space="0" w:color="000000"/>
              <w:right w:val="nil"/>
            </w:tcBorders>
            <w:shd w:val="clear" w:color="auto" w:fill="BFBFBF" w:themeFill="background1" w:themeFillShade="BF"/>
            <w:vAlign w:val="center"/>
          </w:tcPr>
          <w:p w14:paraId="3A86131A" w14:textId="77777777" w:rsidR="00450631" w:rsidRPr="00B10AD2" w:rsidRDefault="00450631" w:rsidP="00441EB8">
            <w:pPr>
              <w:keepNext/>
              <w:keepLines/>
              <w:spacing w:before="60" w:after="60"/>
              <w:jc w:val="center"/>
              <w:rPr>
                <w:rFonts w:cs="Arial"/>
                <w:color w:val="auto"/>
                <w:sz w:val="20"/>
                <w:szCs w:val="20"/>
              </w:rPr>
            </w:pPr>
          </w:p>
          <w:p w14:paraId="4497AA68" w14:textId="77777777" w:rsidR="00450631" w:rsidRPr="00B10AD2" w:rsidRDefault="00450631" w:rsidP="00441EB8">
            <w:pPr>
              <w:keepNext/>
              <w:keepLines/>
              <w:spacing w:before="60" w:after="60"/>
              <w:jc w:val="center"/>
              <w:rPr>
                <w:rFonts w:cs="Arial"/>
                <w:i w:val="0"/>
                <w:color w:val="auto"/>
                <w:sz w:val="20"/>
                <w:szCs w:val="20"/>
              </w:rPr>
            </w:pPr>
            <w:r w:rsidRPr="00B10AD2">
              <w:rPr>
                <w:rFonts w:cs="Arial"/>
                <w:i w:val="0"/>
                <w:color w:val="auto"/>
                <w:sz w:val="20"/>
                <w:szCs w:val="20"/>
              </w:rPr>
              <w:t xml:space="preserve">Analysis </w:t>
            </w:r>
          </w:p>
        </w:tc>
        <w:tc>
          <w:tcPr>
            <w:tcW w:w="1731" w:type="dxa"/>
            <w:vMerge w:val="restart"/>
            <w:tcBorders>
              <w:top w:val="nil"/>
              <w:left w:val="nil"/>
              <w:bottom w:val="single" w:sz="6" w:space="0" w:color="000000"/>
              <w:right w:val="nil"/>
            </w:tcBorders>
            <w:shd w:val="clear" w:color="auto" w:fill="BFBFBF" w:themeFill="background1" w:themeFillShade="BF"/>
            <w:vAlign w:val="center"/>
            <w:hideMark/>
          </w:tcPr>
          <w:p w14:paraId="09712915" w14:textId="77777777" w:rsidR="00450631" w:rsidRPr="00B10AD2"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r w:rsidRPr="00B10AD2">
              <w:rPr>
                <w:rFonts w:cs="Arial"/>
                <w:i w:val="0"/>
                <w:color w:val="auto"/>
                <w:sz w:val="20"/>
                <w:szCs w:val="20"/>
              </w:rPr>
              <w:t>Analysis provided by manufacturer*</w:t>
            </w:r>
          </w:p>
        </w:tc>
        <w:tc>
          <w:tcPr>
            <w:tcW w:w="5073" w:type="dxa"/>
            <w:gridSpan w:val="3"/>
            <w:tcBorders>
              <w:top w:val="nil"/>
              <w:left w:val="nil"/>
              <w:bottom w:val="nil"/>
              <w:right w:val="nil"/>
            </w:tcBorders>
            <w:shd w:val="clear" w:color="auto" w:fill="BFBFBF" w:themeFill="background1" w:themeFillShade="BF"/>
            <w:hideMark/>
          </w:tcPr>
          <w:p w14:paraId="5541C12D"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r w:rsidRPr="001E459C">
              <w:rPr>
                <w:rFonts w:cs="Arial"/>
                <w:i w:val="0"/>
                <w:color w:val="auto"/>
                <w:sz w:val="20"/>
                <w:szCs w:val="20"/>
              </w:rPr>
              <w:t>Specifications</w:t>
            </w:r>
          </w:p>
        </w:tc>
      </w:tr>
      <w:tr w:rsidR="001E459C" w:rsidRPr="001E459C" w14:paraId="304F262A" w14:textId="77777777" w:rsidTr="00AE71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tcBorders>
              <w:top w:val="nil"/>
              <w:left w:val="nil"/>
              <w:right w:val="nil"/>
            </w:tcBorders>
            <w:shd w:val="clear" w:color="auto" w:fill="BFBFBF" w:themeFill="background1" w:themeFillShade="BF"/>
            <w:vAlign w:val="center"/>
            <w:hideMark/>
          </w:tcPr>
          <w:p w14:paraId="5638B497" w14:textId="77777777" w:rsidR="00450631" w:rsidRPr="00450631" w:rsidRDefault="00450631" w:rsidP="00441EB8">
            <w:pPr>
              <w:rPr>
                <w:rFonts w:cs="Arial"/>
                <w:color w:val="FF0000"/>
                <w:sz w:val="20"/>
                <w:szCs w:val="20"/>
              </w:rPr>
            </w:pPr>
          </w:p>
        </w:tc>
        <w:tc>
          <w:tcPr>
            <w:tcW w:w="1731" w:type="dxa"/>
            <w:vMerge/>
            <w:tcBorders>
              <w:top w:val="nil"/>
              <w:left w:val="nil"/>
              <w:right w:val="nil"/>
            </w:tcBorders>
            <w:shd w:val="clear" w:color="auto" w:fill="BFBFBF" w:themeFill="background1" w:themeFillShade="BF"/>
            <w:vAlign w:val="center"/>
            <w:hideMark/>
          </w:tcPr>
          <w:p w14:paraId="5874E271" w14:textId="77777777" w:rsidR="00450631" w:rsidRPr="00450631" w:rsidRDefault="00450631" w:rsidP="00441EB8">
            <w:pPr>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p>
        </w:tc>
        <w:tc>
          <w:tcPr>
            <w:tcW w:w="1671" w:type="dxa"/>
            <w:tcBorders>
              <w:top w:val="nil"/>
              <w:left w:val="nil"/>
              <w:right w:val="nil"/>
            </w:tcBorders>
            <w:shd w:val="clear" w:color="auto" w:fill="BFBFBF" w:themeFill="background1" w:themeFillShade="BF"/>
            <w:vAlign w:val="center"/>
            <w:hideMark/>
          </w:tcPr>
          <w:p w14:paraId="171FDDDF"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JECFA</w:t>
            </w:r>
          </w:p>
          <w:p w14:paraId="3C8F7F2A"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(2006)</w:t>
            </w:r>
          </w:p>
        </w:tc>
        <w:tc>
          <w:tcPr>
            <w:tcW w:w="1594" w:type="dxa"/>
            <w:tcBorders>
              <w:top w:val="nil"/>
              <w:left w:val="nil"/>
              <w:right w:val="nil"/>
            </w:tcBorders>
            <w:shd w:val="clear" w:color="auto" w:fill="BFBFBF" w:themeFill="background1" w:themeFillShade="BF"/>
            <w:vAlign w:val="center"/>
            <w:hideMark/>
          </w:tcPr>
          <w:p w14:paraId="680E4F37"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Food Chemicals Codex</w:t>
            </w:r>
          </w:p>
          <w:p w14:paraId="0801CC79"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(FCC, 2020)</w:t>
            </w:r>
          </w:p>
        </w:tc>
        <w:tc>
          <w:tcPr>
            <w:tcW w:w="1808" w:type="dxa"/>
            <w:tcBorders>
              <w:top w:val="nil"/>
              <w:left w:val="nil"/>
              <w:right w:val="nil"/>
            </w:tcBorders>
            <w:shd w:val="clear" w:color="auto" w:fill="BFBFBF" w:themeFill="background1" w:themeFillShade="BF"/>
            <w:vAlign w:val="center"/>
            <w:hideMark/>
          </w:tcPr>
          <w:p w14:paraId="480DE91E"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Australia New Zealand Food Standards Code</w:t>
            </w:r>
          </w:p>
          <w:p w14:paraId="58B4EF5A"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(section S3—4)</w:t>
            </w:r>
          </w:p>
        </w:tc>
      </w:tr>
      <w:tr w:rsidR="001E459C" w:rsidRPr="001E459C" w14:paraId="411B0991"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6777E442" w14:textId="77777777" w:rsidR="00450631" w:rsidRPr="00B10AD2" w:rsidRDefault="00450631" w:rsidP="00441EB8">
            <w:pPr>
              <w:spacing w:before="60" w:after="60"/>
              <w:rPr>
                <w:sz w:val="20"/>
                <w:szCs w:val="20"/>
              </w:rPr>
            </w:pPr>
            <w:r w:rsidRPr="00B10AD2">
              <w:rPr>
                <w:sz w:val="20"/>
                <w:szCs w:val="20"/>
              </w:rPr>
              <w:t>Lead (mg/kg)</w:t>
            </w:r>
          </w:p>
        </w:tc>
        <w:tc>
          <w:tcPr>
            <w:tcW w:w="1731" w:type="dxa"/>
            <w:tcBorders>
              <w:top w:val="nil"/>
              <w:left w:val="nil"/>
              <w:bottom w:val="nil"/>
              <w:right w:val="nil"/>
            </w:tcBorders>
            <w:shd w:val="clear" w:color="auto" w:fill="ECECEC"/>
            <w:hideMark/>
          </w:tcPr>
          <w:p w14:paraId="7D7CB15B" w14:textId="5D2B6C32" w:rsidR="00450631" w:rsidRPr="00B10AD2" w:rsidRDefault="00450631" w:rsidP="00B10AD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w:t>
            </w:r>
            <w:r w:rsidR="00B10AD2" w:rsidRPr="00B10AD2">
              <w:rPr>
                <w:sz w:val="20"/>
                <w:szCs w:val="20"/>
              </w:rPr>
              <w:t>1-0.1</w:t>
            </w:r>
          </w:p>
        </w:tc>
        <w:tc>
          <w:tcPr>
            <w:tcW w:w="1671" w:type="dxa"/>
            <w:tcBorders>
              <w:top w:val="nil"/>
              <w:left w:val="nil"/>
              <w:bottom w:val="nil"/>
              <w:right w:val="nil"/>
            </w:tcBorders>
            <w:shd w:val="clear" w:color="auto" w:fill="ECECEC"/>
            <w:hideMark/>
          </w:tcPr>
          <w:p w14:paraId="33ACFA2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5</w:t>
            </w:r>
          </w:p>
        </w:tc>
        <w:tc>
          <w:tcPr>
            <w:tcW w:w="1594" w:type="dxa"/>
            <w:tcBorders>
              <w:top w:val="nil"/>
              <w:left w:val="nil"/>
              <w:bottom w:val="nil"/>
              <w:right w:val="nil"/>
            </w:tcBorders>
            <w:shd w:val="clear" w:color="auto" w:fill="ECECEC"/>
            <w:hideMark/>
          </w:tcPr>
          <w:p w14:paraId="0E057B0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5</w:t>
            </w:r>
          </w:p>
        </w:tc>
        <w:tc>
          <w:tcPr>
            <w:tcW w:w="1808" w:type="dxa"/>
            <w:tcBorders>
              <w:top w:val="nil"/>
              <w:left w:val="nil"/>
              <w:bottom w:val="nil"/>
              <w:right w:val="nil"/>
            </w:tcBorders>
            <w:shd w:val="clear" w:color="auto" w:fill="ECECEC"/>
            <w:hideMark/>
          </w:tcPr>
          <w:p w14:paraId="034D21EC"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≤2</w:t>
            </w:r>
          </w:p>
        </w:tc>
      </w:tr>
      <w:tr w:rsidR="001E459C" w:rsidRPr="001E459C" w14:paraId="10ED083A"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454AC74F" w14:textId="77777777" w:rsidR="00450631" w:rsidRPr="00B10AD2" w:rsidRDefault="00450631" w:rsidP="00441EB8">
            <w:pPr>
              <w:spacing w:before="60" w:after="60"/>
              <w:rPr>
                <w:i/>
                <w:sz w:val="20"/>
                <w:szCs w:val="20"/>
              </w:rPr>
            </w:pPr>
            <w:r w:rsidRPr="00B10AD2">
              <w:rPr>
                <w:sz w:val="20"/>
                <w:szCs w:val="20"/>
              </w:rPr>
              <w:t>Arsenic (mg/kg)</w:t>
            </w:r>
          </w:p>
        </w:tc>
        <w:tc>
          <w:tcPr>
            <w:tcW w:w="1731" w:type="dxa"/>
            <w:tcBorders>
              <w:top w:val="nil"/>
              <w:left w:val="nil"/>
              <w:bottom w:val="nil"/>
              <w:right w:val="nil"/>
            </w:tcBorders>
            <w:hideMark/>
          </w:tcPr>
          <w:p w14:paraId="60CD050D" w14:textId="069988FF"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&lt;0.01</w:t>
            </w:r>
          </w:p>
        </w:tc>
        <w:tc>
          <w:tcPr>
            <w:tcW w:w="1671" w:type="dxa"/>
            <w:tcBorders>
              <w:top w:val="nil"/>
              <w:left w:val="nil"/>
              <w:bottom w:val="nil"/>
              <w:right w:val="nil"/>
            </w:tcBorders>
            <w:hideMark/>
          </w:tcPr>
          <w:p w14:paraId="3447BE62"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594" w:type="dxa"/>
            <w:tcBorders>
              <w:top w:val="nil"/>
              <w:left w:val="nil"/>
              <w:bottom w:val="nil"/>
              <w:right w:val="nil"/>
            </w:tcBorders>
            <w:hideMark/>
          </w:tcPr>
          <w:p w14:paraId="3F5F765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hideMark/>
          </w:tcPr>
          <w:p w14:paraId="4C4BBF0C"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≤1</w:t>
            </w:r>
          </w:p>
        </w:tc>
      </w:tr>
      <w:tr w:rsidR="001E459C" w:rsidRPr="001E459C" w14:paraId="15E39C39"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70615CE1" w14:textId="77777777" w:rsidR="00450631" w:rsidRPr="00B10AD2" w:rsidRDefault="00450631" w:rsidP="00441EB8">
            <w:pPr>
              <w:spacing w:before="60" w:after="60"/>
              <w:rPr>
                <w:sz w:val="20"/>
                <w:szCs w:val="20"/>
              </w:rPr>
            </w:pPr>
            <w:r w:rsidRPr="00B10AD2">
              <w:rPr>
                <w:sz w:val="20"/>
                <w:szCs w:val="20"/>
              </w:rPr>
              <w:t>Cadmium (mg/kg)</w:t>
            </w:r>
          </w:p>
        </w:tc>
        <w:tc>
          <w:tcPr>
            <w:tcW w:w="1731" w:type="dxa"/>
            <w:tcBorders>
              <w:top w:val="nil"/>
              <w:left w:val="nil"/>
              <w:bottom w:val="nil"/>
              <w:right w:val="nil"/>
            </w:tcBorders>
            <w:shd w:val="clear" w:color="auto" w:fill="ECECEC"/>
            <w:hideMark/>
          </w:tcPr>
          <w:p w14:paraId="62350C56" w14:textId="7EC50597" w:rsidR="00450631" w:rsidRPr="00B10AD2" w:rsidRDefault="00B10AD2" w:rsidP="00B10AD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&lt;0.001</w:t>
            </w:r>
          </w:p>
        </w:tc>
        <w:tc>
          <w:tcPr>
            <w:tcW w:w="1671" w:type="dxa"/>
            <w:tcBorders>
              <w:top w:val="nil"/>
              <w:left w:val="nil"/>
              <w:bottom w:val="nil"/>
              <w:right w:val="nil"/>
            </w:tcBorders>
            <w:shd w:val="clear" w:color="auto" w:fill="ECECEC"/>
            <w:hideMark/>
          </w:tcPr>
          <w:p w14:paraId="28272EF6"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594" w:type="dxa"/>
            <w:tcBorders>
              <w:top w:val="nil"/>
              <w:left w:val="nil"/>
              <w:bottom w:val="nil"/>
              <w:right w:val="nil"/>
            </w:tcBorders>
            <w:shd w:val="clear" w:color="auto" w:fill="ECECEC"/>
            <w:hideMark/>
          </w:tcPr>
          <w:p w14:paraId="0241668B"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shd w:val="clear" w:color="auto" w:fill="ECECEC"/>
            <w:hideMark/>
          </w:tcPr>
          <w:p w14:paraId="22078770"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≤1</w:t>
            </w:r>
          </w:p>
        </w:tc>
      </w:tr>
      <w:tr w:rsidR="001E459C" w:rsidRPr="001E459C" w14:paraId="4A188307"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ECECEC"/>
              <w:right w:val="nil"/>
            </w:tcBorders>
            <w:hideMark/>
          </w:tcPr>
          <w:p w14:paraId="57ECFA97" w14:textId="77777777" w:rsidR="00450631" w:rsidRPr="00B10AD2" w:rsidRDefault="00450631" w:rsidP="00441EB8">
            <w:pPr>
              <w:spacing w:before="60" w:after="60"/>
              <w:rPr>
                <w:sz w:val="20"/>
                <w:szCs w:val="20"/>
              </w:rPr>
            </w:pPr>
            <w:r w:rsidRPr="00B10AD2">
              <w:rPr>
                <w:sz w:val="20"/>
                <w:szCs w:val="20"/>
              </w:rPr>
              <w:t>Mercury (mg/kg)</w:t>
            </w:r>
          </w:p>
        </w:tc>
        <w:tc>
          <w:tcPr>
            <w:tcW w:w="1731" w:type="dxa"/>
            <w:tcBorders>
              <w:top w:val="nil"/>
              <w:left w:val="nil"/>
              <w:bottom w:val="single" w:sz="4" w:space="0" w:color="ECECEC"/>
              <w:right w:val="nil"/>
            </w:tcBorders>
            <w:hideMark/>
          </w:tcPr>
          <w:p w14:paraId="3956626D" w14:textId="1FB99EBC" w:rsidR="00450631" w:rsidRPr="00B10AD2" w:rsidRDefault="00B10AD2" w:rsidP="00B10AD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&lt;0.005</w:t>
            </w:r>
          </w:p>
        </w:tc>
        <w:tc>
          <w:tcPr>
            <w:tcW w:w="1671" w:type="dxa"/>
            <w:tcBorders>
              <w:top w:val="nil"/>
              <w:left w:val="nil"/>
              <w:bottom w:val="single" w:sz="4" w:space="0" w:color="ECECEC"/>
              <w:right w:val="nil"/>
            </w:tcBorders>
            <w:hideMark/>
          </w:tcPr>
          <w:p w14:paraId="420AB4D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594" w:type="dxa"/>
            <w:tcBorders>
              <w:top w:val="nil"/>
              <w:left w:val="nil"/>
              <w:bottom w:val="single" w:sz="4" w:space="0" w:color="ECECEC"/>
              <w:right w:val="nil"/>
            </w:tcBorders>
            <w:hideMark/>
          </w:tcPr>
          <w:p w14:paraId="2FC822ED"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single" w:sz="4" w:space="0" w:color="ECECEC"/>
              <w:right w:val="nil"/>
            </w:tcBorders>
            <w:hideMark/>
          </w:tcPr>
          <w:p w14:paraId="2BF0A5E1"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≤1</w:t>
            </w:r>
          </w:p>
        </w:tc>
      </w:tr>
      <w:tr w:rsidR="001E459C" w:rsidRPr="001E459C" w14:paraId="7D69C5C5"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296778AA" w14:textId="77777777" w:rsidR="00450631" w:rsidRPr="00B10AD2" w:rsidRDefault="00450631" w:rsidP="00441EB8">
            <w:pPr>
              <w:spacing w:before="60" w:after="60"/>
              <w:rPr>
                <w:sz w:val="20"/>
                <w:szCs w:val="20"/>
              </w:rPr>
            </w:pPr>
            <w:r w:rsidRPr="00B10AD2">
              <w:rPr>
                <w:sz w:val="20"/>
                <w:szCs w:val="20"/>
              </w:rPr>
              <w:t>Coliforms (cfu/g)</w:t>
            </w:r>
          </w:p>
        </w:tc>
        <w:tc>
          <w:tcPr>
            <w:tcW w:w="1731" w:type="dxa"/>
            <w:tcBorders>
              <w:top w:val="nil"/>
              <w:left w:val="nil"/>
              <w:bottom w:val="nil"/>
              <w:right w:val="nil"/>
            </w:tcBorders>
            <w:shd w:val="clear" w:color="auto" w:fill="ECECEC"/>
            <w:hideMark/>
          </w:tcPr>
          <w:p w14:paraId="018CD26D" w14:textId="0C4FE4AF"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&lt;1</w:t>
            </w:r>
          </w:p>
        </w:tc>
        <w:tc>
          <w:tcPr>
            <w:tcW w:w="1671" w:type="dxa"/>
            <w:tcBorders>
              <w:top w:val="nil"/>
              <w:left w:val="nil"/>
              <w:bottom w:val="nil"/>
              <w:right w:val="nil"/>
            </w:tcBorders>
            <w:shd w:val="clear" w:color="auto" w:fill="ECECEC"/>
            <w:hideMark/>
          </w:tcPr>
          <w:p w14:paraId="127149B6"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xml:space="preserve">≤30 </w:t>
            </w:r>
          </w:p>
        </w:tc>
        <w:tc>
          <w:tcPr>
            <w:tcW w:w="1594" w:type="dxa"/>
            <w:tcBorders>
              <w:top w:val="nil"/>
              <w:left w:val="nil"/>
              <w:bottom w:val="nil"/>
              <w:right w:val="nil"/>
            </w:tcBorders>
            <w:shd w:val="clear" w:color="auto" w:fill="ECECEC"/>
            <w:hideMark/>
          </w:tcPr>
          <w:p w14:paraId="1F2581BE"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≤30</w:t>
            </w:r>
          </w:p>
        </w:tc>
        <w:tc>
          <w:tcPr>
            <w:tcW w:w="1808" w:type="dxa"/>
            <w:tcBorders>
              <w:top w:val="nil"/>
              <w:left w:val="nil"/>
              <w:bottom w:val="nil"/>
              <w:right w:val="nil"/>
            </w:tcBorders>
            <w:shd w:val="clear" w:color="auto" w:fill="ECECEC"/>
            <w:hideMark/>
          </w:tcPr>
          <w:p w14:paraId="7CEF24F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r w:rsidR="001E459C" w:rsidRPr="001E459C" w14:paraId="46A5C0F4"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5DD51B6A" w14:textId="77777777" w:rsidR="00450631" w:rsidRPr="00B10AD2" w:rsidRDefault="00450631" w:rsidP="00441EB8">
            <w:pPr>
              <w:spacing w:before="60" w:after="60"/>
              <w:rPr>
                <w:sz w:val="20"/>
                <w:szCs w:val="20"/>
              </w:rPr>
            </w:pPr>
            <w:r w:rsidRPr="00B10AD2">
              <w:rPr>
                <w:i/>
                <w:sz w:val="20"/>
                <w:szCs w:val="20"/>
              </w:rPr>
              <w:t>Salmonella</w:t>
            </w:r>
            <w:r w:rsidRPr="00B10AD2">
              <w:rPr>
                <w:sz w:val="20"/>
                <w:szCs w:val="20"/>
              </w:rPr>
              <w:t xml:space="preserve"> (in 25 g)</w:t>
            </w:r>
          </w:p>
        </w:tc>
        <w:tc>
          <w:tcPr>
            <w:tcW w:w="1731" w:type="dxa"/>
            <w:tcBorders>
              <w:top w:val="nil"/>
              <w:left w:val="nil"/>
              <w:bottom w:val="nil"/>
              <w:right w:val="nil"/>
            </w:tcBorders>
            <w:hideMark/>
          </w:tcPr>
          <w:p w14:paraId="53898D4B" w14:textId="509F2FA6"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Negative</w:t>
            </w:r>
          </w:p>
        </w:tc>
        <w:tc>
          <w:tcPr>
            <w:tcW w:w="1671" w:type="dxa"/>
            <w:tcBorders>
              <w:top w:val="nil"/>
              <w:left w:val="nil"/>
              <w:bottom w:val="nil"/>
              <w:right w:val="nil"/>
            </w:tcBorders>
            <w:hideMark/>
          </w:tcPr>
          <w:p w14:paraId="5EFE63A4"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Absent</w:t>
            </w:r>
          </w:p>
        </w:tc>
        <w:tc>
          <w:tcPr>
            <w:tcW w:w="1594" w:type="dxa"/>
            <w:tcBorders>
              <w:top w:val="nil"/>
              <w:left w:val="nil"/>
              <w:bottom w:val="nil"/>
              <w:right w:val="nil"/>
            </w:tcBorders>
            <w:hideMark/>
          </w:tcPr>
          <w:p w14:paraId="60416BE9"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Negative</w:t>
            </w:r>
          </w:p>
        </w:tc>
        <w:tc>
          <w:tcPr>
            <w:tcW w:w="1808" w:type="dxa"/>
            <w:tcBorders>
              <w:top w:val="nil"/>
              <w:left w:val="nil"/>
              <w:bottom w:val="nil"/>
              <w:right w:val="nil"/>
            </w:tcBorders>
            <w:hideMark/>
          </w:tcPr>
          <w:p w14:paraId="48D5A19C"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r w:rsidR="001E459C" w:rsidRPr="001E459C" w14:paraId="0661F781"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5FE81DF7" w14:textId="77777777" w:rsidR="00450631" w:rsidRPr="00B10AD2" w:rsidRDefault="00450631" w:rsidP="00441EB8">
            <w:pPr>
              <w:spacing w:before="60" w:after="60"/>
              <w:rPr>
                <w:i/>
                <w:sz w:val="20"/>
                <w:szCs w:val="20"/>
              </w:rPr>
            </w:pPr>
            <w:r w:rsidRPr="00B10AD2">
              <w:rPr>
                <w:i/>
                <w:sz w:val="20"/>
                <w:szCs w:val="20"/>
              </w:rPr>
              <w:t xml:space="preserve">E. coli </w:t>
            </w:r>
            <w:r w:rsidRPr="00B10AD2">
              <w:rPr>
                <w:sz w:val="20"/>
                <w:szCs w:val="20"/>
              </w:rPr>
              <w:t>(in 25 g)</w:t>
            </w:r>
          </w:p>
        </w:tc>
        <w:tc>
          <w:tcPr>
            <w:tcW w:w="1731" w:type="dxa"/>
            <w:tcBorders>
              <w:top w:val="nil"/>
              <w:left w:val="nil"/>
              <w:bottom w:val="nil"/>
              <w:right w:val="nil"/>
            </w:tcBorders>
            <w:shd w:val="clear" w:color="auto" w:fill="ECECEC"/>
            <w:hideMark/>
          </w:tcPr>
          <w:p w14:paraId="66D277F3" w14:textId="004A9A3E"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Negative</w:t>
            </w:r>
          </w:p>
        </w:tc>
        <w:tc>
          <w:tcPr>
            <w:tcW w:w="1671" w:type="dxa"/>
            <w:tcBorders>
              <w:top w:val="nil"/>
              <w:left w:val="nil"/>
              <w:bottom w:val="nil"/>
              <w:right w:val="nil"/>
            </w:tcBorders>
            <w:shd w:val="clear" w:color="auto" w:fill="ECECEC"/>
            <w:hideMark/>
          </w:tcPr>
          <w:p w14:paraId="3350A2B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xml:space="preserve">Absent </w:t>
            </w:r>
          </w:p>
        </w:tc>
        <w:tc>
          <w:tcPr>
            <w:tcW w:w="1594" w:type="dxa"/>
            <w:tcBorders>
              <w:top w:val="nil"/>
              <w:left w:val="nil"/>
              <w:bottom w:val="nil"/>
              <w:right w:val="nil"/>
            </w:tcBorders>
            <w:shd w:val="clear" w:color="auto" w:fill="ECECEC"/>
            <w:hideMark/>
          </w:tcPr>
          <w:p w14:paraId="377ED624"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shd w:val="clear" w:color="auto" w:fill="ECECEC"/>
            <w:hideMark/>
          </w:tcPr>
          <w:p w14:paraId="17E9FB7F"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r w:rsidR="001E459C" w:rsidRPr="001E459C" w14:paraId="0ED0EC5A"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vAlign w:val="center"/>
          </w:tcPr>
          <w:p w14:paraId="7760C476" w14:textId="77777777" w:rsidR="00450631" w:rsidRPr="00B10AD2" w:rsidRDefault="00450631" w:rsidP="00441EB8">
            <w:pPr>
              <w:spacing w:before="60" w:after="60"/>
              <w:rPr>
                <w:i/>
                <w:sz w:val="20"/>
                <w:szCs w:val="20"/>
              </w:rPr>
            </w:pPr>
            <w:r w:rsidRPr="00B10AD2">
              <w:rPr>
                <w:sz w:val="20"/>
                <w:szCs w:val="20"/>
              </w:rPr>
              <w:t xml:space="preserve">Antibiotic activity </w:t>
            </w:r>
          </w:p>
        </w:tc>
        <w:tc>
          <w:tcPr>
            <w:tcW w:w="1731" w:type="dxa"/>
            <w:tcBorders>
              <w:top w:val="nil"/>
              <w:left w:val="nil"/>
              <w:bottom w:val="nil"/>
              <w:right w:val="nil"/>
            </w:tcBorders>
            <w:shd w:val="clear" w:color="auto" w:fill="ECECEC"/>
            <w:vAlign w:val="center"/>
          </w:tcPr>
          <w:p w14:paraId="565DD056" w14:textId="291B0576"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Negative</w:t>
            </w:r>
          </w:p>
        </w:tc>
        <w:tc>
          <w:tcPr>
            <w:tcW w:w="1671" w:type="dxa"/>
            <w:tcBorders>
              <w:top w:val="nil"/>
              <w:left w:val="nil"/>
              <w:bottom w:val="nil"/>
              <w:right w:val="nil"/>
            </w:tcBorders>
            <w:shd w:val="clear" w:color="auto" w:fill="ECECEC"/>
            <w:vAlign w:val="center"/>
          </w:tcPr>
          <w:p w14:paraId="680E5B9D"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Absent</w:t>
            </w:r>
          </w:p>
        </w:tc>
        <w:tc>
          <w:tcPr>
            <w:tcW w:w="1594" w:type="dxa"/>
            <w:tcBorders>
              <w:top w:val="nil"/>
              <w:left w:val="nil"/>
              <w:bottom w:val="nil"/>
              <w:right w:val="nil"/>
            </w:tcBorders>
            <w:shd w:val="clear" w:color="auto" w:fill="ECECEC"/>
            <w:vAlign w:val="center"/>
          </w:tcPr>
          <w:p w14:paraId="09DD973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shd w:val="clear" w:color="auto" w:fill="ECECEC"/>
            <w:vAlign w:val="center"/>
          </w:tcPr>
          <w:p w14:paraId="14FED22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bl>
    <w:p w14:paraId="0007E56F" w14:textId="77777777" w:rsidR="00450631" w:rsidRPr="00B10AD2" w:rsidRDefault="00450631" w:rsidP="00450631">
      <w:pPr>
        <w:rPr>
          <w:sz w:val="18"/>
          <w:szCs w:val="18"/>
          <w:lang w:eastAsia="en-AU" w:bidi="ar-SA"/>
        </w:rPr>
      </w:pPr>
      <w:r w:rsidRPr="00B10AD2">
        <w:rPr>
          <w:sz w:val="18"/>
          <w:szCs w:val="18"/>
          <w:lang w:eastAsia="en-AU" w:bidi="ar-SA"/>
        </w:rPr>
        <w:t>* across three samples</w:t>
      </w:r>
    </w:p>
    <w:p w14:paraId="017C3D44" w14:textId="77777777" w:rsidR="00450631" w:rsidRPr="003A1639" w:rsidRDefault="00450631" w:rsidP="00450631">
      <w:pPr>
        <w:widowControl/>
        <w:autoSpaceDE w:val="0"/>
        <w:autoSpaceDN w:val="0"/>
        <w:adjustRightInd w:val="0"/>
        <w:rPr>
          <w:lang w:eastAsia="en-AU"/>
        </w:rPr>
      </w:pPr>
    </w:p>
    <w:p w14:paraId="71A4828D" w14:textId="1F5C1652" w:rsidR="00E56177" w:rsidRPr="003A1639" w:rsidRDefault="00450631" w:rsidP="001E459C">
      <w:pPr>
        <w:widowControl/>
        <w:autoSpaceDE w:val="0"/>
        <w:autoSpaceDN w:val="0"/>
        <w:adjustRightInd w:val="0"/>
        <w:rPr>
          <w:lang w:eastAsia="en-AU" w:bidi="ar-SA"/>
        </w:rPr>
      </w:pPr>
      <w:r w:rsidRPr="003A1639">
        <w:rPr>
          <w:lang w:eastAsia="en-AU"/>
        </w:rPr>
        <w:t xml:space="preserve">Whilst the manufacturing processes ensure the production microorganism is removed from the final enzyme preparation, the food enzyme is a biological isolate of variable composition, containing the enzyme protein, as well as organic and inorganic material derived from the microorganism and fermentation process. Refer to section 3.4 below for the total organic solids (TOS) value. </w:t>
      </w:r>
    </w:p>
    <w:p w14:paraId="6F9DB7B3" w14:textId="628C842B" w:rsidR="00250F95" w:rsidRDefault="00250F95" w:rsidP="00EF6B4F">
      <w:pPr>
        <w:pStyle w:val="Heading2"/>
      </w:pPr>
      <w:bookmarkStart w:id="19" w:name="_Toc98407521"/>
      <w:bookmarkStart w:id="20" w:name="_Toc103064640"/>
      <w:r w:rsidRPr="00A92B6C">
        <w:t>2.</w:t>
      </w:r>
      <w:r w:rsidR="00223913" w:rsidRPr="00A92B6C">
        <w:t>3</w:t>
      </w:r>
      <w:r w:rsidRPr="00A92B6C">
        <w:tab/>
        <w:t>Technological purpose of the enzyme</w:t>
      </w:r>
      <w:bookmarkEnd w:id="19"/>
      <w:bookmarkEnd w:id="20"/>
    </w:p>
    <w:p w14:paraId="43B74AED" w14:textId="53CB0B60" w:rsidR="001E459C" w:rsidRDefault="00464759" w:rsidP="001E459C">
      <w:pPr>
        <w:rPr>
          <w:lang w:bidi="ar-SA"/>
        </w:rPr>
      </w:pPr>
      <w:r>
        <w:rPr>
          <w:lang w:bidi="ar-SA"/>
        </w:rPr>
        <w:t>Danisco’s</w:t>
      </w:r>
      <w:r w:rsidR="001E459C">
        <w:rPr>
          <w:lang w:bidi="ar-SA"/>
        </w:rPr>
        <w:t xml:space="preserve"> alpha-amylase is intended for use in</w:t>
      </w:r>
      <w:r w:rsidR="001E459C" w:rsidRPr="001E459C">
        <w:rPr>
          <w:lang w:bidi="ar-SA"/>
        </w:rPr>
        <w:t xml:space="preserve"> brewed beverages, potable alcohol production and starch processing.</w:t>
      </w:r>
    </w:p>
    <w:p w14:paraId="631839BB" w14:textId="262DD1E9" w:rsidR="001E459C" w:rsidRDefault="001E459C" w:rsidP="001E459C">
      <w:pPr>
        <w:rPr>
          <w:lang w:bidi="ar-SA"/>
        </w:rPr>
      </w:pPr>
    </w:p>
    <w:p w14:paraId="4C8BC610" w14:textId="0FDEA614" w:rsidR="000E7409" w:rsidRDefault="00BB3EDA" w:rsidP="00CD57C9">
      <w:pPr>
        <w:rPr>
          <w:lang w:bidi="ar-SA"/>
        </w:rPr>
      </w:pPr>
      <w:r>
        <w:rPr>
          <w:lang w:bidi="ar-SA"/>
        </w:rPr>
        <w:t xml:space="preserve">Alpha-amylase belongs to the </w:t>
      </w:r>
      <w:r w:rsidR="000E7409">
        <w:rPr>
          <w:lang w:bidi="ar-SA"/>
        </w:rPr>
        <w:t xml:space="preserve">hydrolase </w:t>
      </w:r>
      <w:r>
        <w:rPr>
          <w:lang w:bidi="ar-SA"/>
        </w:rPr>
        <w:t>enzyme class</w:t>
      </w:r>
      <w:r w:rsidR="000E7409">
        <w:rPr>
          <w:lang w:bidi="ar-SA"/>
        </w:rPr>
        <w:t xml:space="preserve"> and is a type of glycosidase (</w:t>
      </w:r>
      <w:r w:rsidR="00C07207">
        <w:rPr>
          <w:lang w:bidi="ar-SA"/>
        </w:rPr>
        <w:t xml:space="preserve">which </w:t>
      </w:r>
      <w:r w:rsidR="000E7409" w:rsidRPr="000E7409">
        <w:rPr>
          <w:lang w:bidi="ar-SA"/>
        </w:rPr>
        <w:t>hydrolys</w:t>
      </w:r>
      <w:r w:rsidR="00C07207">
        <w:rPr>
          <w:lang w:bidi="ar-SA"/>
        </w:rPr>
        <w:t>e</w:t>
      </w:r>
      <w:r w:rsidR="000E7409" w:rsidRPr="000E7409">
        <w:rPr>
          <w:lang w:bidi="ar-SA"/>
        </w:rPr>
        <w:t xml:space="preserve"> O- and S-glycosyl compounds</w:t>
      </w:r>
      <w:r w:rsidR="000E7409">
        <w:rPr>
          <w:lang w:bidi="ar-SA"/>
        </w:rPr>
        <w:t>). Specifically, a</w:t>
      </w:r>
      <w:r w:rsidR="00C5160A">
        <w:rPr>
          <w:lang w:bidi="ar-SA"/>
        </w:rPr>
        <w:t xml:space="preserve">lpha-amylase </w:t>
      </w:r>
      <w:r w:rsidR="00CD57C9">
        <w:rPr>
          <w:lang w:bidi="ar-SA"/>
        </w:rPr>
        <w:t>a</w:t>
      </w:r>
      <w:r w:rsidR="00CD57C9" w:rsidRPr="00CD57C9">
        <w:rPr>
          <w:lang w:bidi="ar-SA"/>
        </w:rPr>
        <w:t>cts on starch, glycogen and related polysaccharides and oligosaccharides</w:t>
      </w:r>
      <w:r w:rsidR="00CD57C9">
        <w:rPr>
          <w:lang w:bidi="ar-SA"/>
        </w:rPr>
        <w:t xml:space="preserve">, catalysing the </w:t>
      </w:r>
      <w:r w:rsidR="002B22F8">
        <w:rPr>
          <w:lang w:bidi="ar-SA"/>
        </w:rPr>
        <w:t>e</w:t>
      </w:r>
      <w:r w:rsidR="002B22F8" w:rsidRPr="002B22F8">
        <w:rPr>
          <w:lang w:bidi="ar-SA"/>
        </w:rPr>
        <w:t>ndohydrolysis of (1→4)-α-D-glucosidic linkages in polysaccharides containing three or more (1→4)-α-linked D-glucose units</w:t>
      </w:r>
      <w:r w:rsidR="0094475A">
        <w:rPr>
          <w:lang w:bidi="ar-SA"/>
        </w:rPr>
        <w:t>, releasing free sugar groups</w:t>
      </w:r>
      <w:r w:rsidR="002B22F8">
        <w:rPr>
          <w:lang w:bidi="ar-SA"/>
        </w:rPr>
        <w:t xml:space="preserve"> (IUBMB 2022). </w:t>
      </w:r>
      <w:r w:rsidR="00464759">
        <w:rPr>
          <w:lang w:bidi="ar-SA"/>
        </w:rPr>
        <w:t>Alpha-</w:t>
      </w:r>
      <w:r w:rsidR="0092457D" w:rsidRPr="00B26C7E">
        <w:rPr>
          <w:lang w:bidi="ar-SA"/>
        </w:rPr>
        <w:t xml:space="preserve">amylase produced from </w:t>
      </w:r>
      <w:r w:rsidR="0092457D" w:rsidRPr="00B26C7E">
        <w:rPr>
          <w:i/>
          <w:lang w:bidi="ar-SA"/>
        </w:rPr>
        <w:t xml:space="preserve">B. licheniformis </w:t>
      </w:r>
      <w:r w:rsidR="0092457D" w:rsidRPr="00B26C7E">
        <w:rPr>
          <w:lang w:bidi="ar-SA"/>
        </w:rPr>
        <w:t xml:space="preserve">is </w:t>
      </w:r>
      <w:r w:rsidR="00643A03" w:rsidRPr="00B26C7E">
        <w:rPr>
          <w:lang w:bidi="ar-SA"/>
        </w:rPr>
        <w:t>more heat stable than some other alpha amylases and can therefore</w:t>
      </w:r>
      <w:r w:rsidR="00643A03">
        <w:rPr>
          <w:lang w:bidi="ar-SA"/>
        </w:rPr>
        <w:t xml:space="preserve"> be used in situations where a higher heat is used (</w:t>
      </w:r>
      <w:r w:rsidR="00643A03" w:rsidRPr="00643A03">
        <w:rPr>
          <w:lang w:bidi="ar-SA"/>
        </w:rPr>
        <w:t>Nagodawithana and Reed,1993</w:t>
      </w:r>
      <w:r w:rsidR="00643A03">
        <w:rPr>
          <w:lang w:bidi="ar-SA"/>
        </w:rPr>
        <w:t xml:space="preserve">, Anstrup) </w:t>
      </w:r>
    </w:p>
    <w:p w14:paraId="229DC647" w14:textId="77777777" w:rsidR="000E7409" w:rsidRDefault="000E7409" w:rsidP="00CD57C9">
      <w:pPr>
        <w:rPr>
          <w:lang w:bidi="ar-SA"/>
        </w:rPr>
      </w:pPr>
    </w:p>
    <w:p w14:paraId="6BD2364E" w14:textId="58BDA1DA" w:rsidR="00CD57C9" w:rsidRPr="000A38C8" w:rsidRDefault="00B85015" w:rsidP="00B85015">
      <w:pPr>
        <w:rPr>
          <w:lang w:bidi="ar-SA"/>
        </w:rPr>
      </w:pPr>
      <w:r>
        <w:rPr>
          <w:lang w:bidi="ar-SA"/>
        </w:rPr>
        <w:t>The applicant states that in brewing the enzyme would be used in the liquefaction and saccharification of starch (mashing) from malted cereal and other plant sources</w:t>
      </w:r>
      <w:r w:rsidR="006A2582">
        <w:rPr>
          <w:lang w:bidi="ar-SA"/>
        </w:rPr>
        <w:t>,</w:t>
      </w:r>
      <w:r>
        <w:rPr>
          <w:lang w:bidi="ar-SA"/>
        </w:rPr>
        <w:t xml:space="preserve"> </w:t>
      </w:r>
      <w:r w:rsidRPr="00FB33D7">
        <w:rPr>
          <w:lang w:bidi="ar-SA"/>
        </w:rPr>
        <w:t>su</w:t>
      </w:r>
      <w:r>
        <w:rPr>
          <w:lang w:bidi="ar-SA"/>
        </w:rPr>
        <w:t>ch as barley, wheat, sorghum</w:t>
      </w:r>
      <w:r w:rsidR="00271AB3">
        <w:rPr>
          <w:lang w:bidi="ar-SA"/>
        </w:rPr>
        <w:t xml:space="preserve">, </w:t>
      </w:r>
      <w:r>
        <w:rPr>
          <w:lang w:bidi="ar-SA"/>
        </w:rPr>
        <w:t>rice</w:t>
      </w:r>
      <w:r w:rsidR="00271AB3">
        <w:rPr>
          <w:lang w:bidi="ar-SA"/>
        </w:rPr>
        <w:t>, potato and tapioca. T</w:t>
      </w:r>
      <w:r>
        <w:rPr>
          <w:lang w:bidi="ar-SA"/>
        </w:rPr>
        <w:t xml:space="preserve">he resultant process liquors (worts) </w:t>
      </w:r>
      <w:r w:rsidR="00271AB3">
        <w:rPr>
          <w:lang w:bidi="ar-SA"/>
        </w:rPr>
        <w:t xml:space="preserve">are </w:t>
      </w:r>
      <w:r>
        <w:rPr>
          <w:lang w:bidi="ar-SA"/>
        </w:rPr>
        <w:t>fermented, to produce ethanol. A</w:t>
      </w:r>
      <w:r w:rsidR="00675CDF" w:rsidRPr="00675CDF">
        <w:rPr>
          <w:lang w:bidi="ar-SA"/>
        </w:rPr>
        <w:t>s identified by the applicant and supported by the literature</w:t>
      </w:r>
      <w:r w:rsidR="00675CDF">
        <w:rPr>
          <w:lang w:bidi="ar-SA"/>
        </w:rPr>
        <w:t xml:space="preserve"> (</w:t>
      </w:r>
      <w:r w:rsidR="00B26C7E">
        <w:rPr>
          <w:rFonts w:cs="Arial"/>
          <w:szCs w:val="22"/>
        </w:rPr>
        <w:t>Damodaran 2008</w:t>
      </w:r>
      <w:r w:rsidR="00CB112B">
        <w:rPr>
          <w:lang w:bidi="ar-SA"/>
        </w:rPr>
        <w:t>)</w:t>
      </w:r>
      <w:r w:rsidR="00675CDF" w:rsidRPr="00675CDF">
        <w:rPr>
          <w:lang w:bidi="ar-SA"/>
        </w:rPr>
        <w:t>, a</w:t>
      </w:r>
      <w:r w:rsidR="00DD0A32" w:rsidRPr="00675CDF">
        <w:rPr>
          <w:lang w:bidi="ar-SA"/>
        </w:rPr>
        <w:t>lpha-amylase is used to maximise the conversion of starchy substrate</w:t>
      </w:r>
      <w:r w:rsidR="005D54D4">
        <w:rPr>
          <w:lang w:bidi="ar-SA"/>
        </w:rPr>
        <w:t>s</w:t>
      </w:r>
      <w:r w:rsidR="00DD0A32" w:rsidRPr="00675CDF">
        <w:rPr>
          <w:lang w:bidi="ar-SA"/>
        </w:rPr>
        <w:t xml:space="preserve"> to fermentable carbohydrate</w:t>
      </w:r>
      <w:r w:rsidR="00271AB3">
        <w:rPr>
          <w:lang w:bidi="ar-SA"/>
        </w:rPr>
        <w:t>. This is</w:t>
      </w:r>
      <w:r w:rsidR="00464759">
        <w:rPr>
          <w:lang w:bidi="ar-SA"/>
        </w:rPr>
        <w:t xml:space="preserve"> in addition </w:t>
      </w:r>
      <w:r w:rsidR="004E0066">
        <w:rPr>
          <w:lang w:bidi="ar-SA"/>
        </w:rPr>
        <w:t>to relying on amylases present in malted grains</w:t>
      </w:r>
      <w:r w:rsidR="005D54D4">
        <w:rPr>
          <w:lang w:bidi="ar-SA"/>
        </w:rPr>
        <w:t>. The enzyme would be added</w:t>
      </w:r>
      <w:r w:rsidR="00FB33D7">
        <w:rPr>
          <w:lang w:bidi="ar-SA"/>
        </w:rPr>
        <w:t xml:space="preserve"> during the mashing of </w:t>
      </w:r>
      <w:r w:rsidR="00FB33D7" w:rsidRPr="00FB33D7">
        <w:rPr>
          <w:lang w:bidi="ar-SA"/>
        </w:rPr>
        <w:t>cereal</w:t>
      </w:r>
      <w:r w:rsidR="00373910">
        <w:rPr>
          <w:lang w:bidi="ar-SA"/>
        </w:rPr>
        <w:t xml:space="preserve"> or</w:t>
      </w:r>
      <w:r w:rsidR="001909F9">
        <w:rPr>
          <w:lang w:bidi="ar-SA"/>
        </w:rPr>
        <w:t xml:space="preserve"> other</w:t>
      </w:r>
      <w:r w:rsidR="00271AB3">
        <w:rPr>
          <w:lang w:bidi="ar-SA"/>
        </w:rPr>
        <w:t xml:space="preserve"> </w:t>
      </w:r>
      <w:r w:rsidR="00FB33D7" w:rsidRPr="00FB33D7">
        <w:rPr>
          <w:lang w:bidi="ar-SA"/>
        </w:rPr>
        <w:t xml:space="preserve">plant sources </w:t>
      </w:r>
      <w:r w:rsidR="00FB33D7">
        <w:rPr>
          <w:lang w:bidi="ar-SA"/>
        </w:rPr>
        <w:t>in the initial stages of the brewing process</w:t>
      </w:r>
      <w:r w:rsidR="00CB112B">
        <w:rPr>
          <w:lang w:bidi="ar-SA"/>
        </w:rPr>
        <w:t xml:space="preserve">. </w:t>
      </w:r>
    </w:p>
    <w:p w14:paraId="5F58C904" w14:textId="70C77BE5" w:rsidR="00DD0A32" w:rsidRDefault="00DD0A32" w:rsidP="00CD57C9">
      <w:pPr>
        <w:rPr>
          <w:lang w:bidi="ar-SA"/>
        </w:rPr>
      </w:pPr>
    </w:p>
    <w:p w14:paraId="61D99972" w14:textId="13C9FA43" w:rsidR="00DD0A32" w:rsidRDefault="004E0066" w:rsidP="00B85015">
      <w:pPr>
        <w:rPr>
          <w:lang w:bidi="ar-SA"/>
        </w:rPr>
      </w:pPr>
      <w:r>
        <w:rPr>
          <w:lang w:bidi="ar-SA"/>
        </w:rPr>
        <w:t>In</w:t>
      </w:r>
      <w:r w:rsidR="00DD0A32">
        <w:rPr>
          <w:lang w:bidi="ar-SA"/>
        </w:rPr>
        <w:t xml:space="preserve"> potable alcohol production</w:t>
      </w:r>
      <w:r w:rsidR="00B85015">
        <w:rPr>
          <w:lang w:bidi="ar-SA"/>
        </w:rPr>
        <w:t xml:space="preserve">, </w:t>
      </w:r>
      <w:r w:rsidR="001A0708">
        <w:rPr>
          <w:lang w:bidi="ar-SA"/>
        </w:rPr>
        <w:t>alpha</w:t>
      </w:r>
      <w:r w:rsidR="006A2582">
        <w:rPr>
          <w:lang w:bidi="ar-SA"/>
        </w:rPr>
        <w:t>-</w:t>
      </w:r>
      <w:r w:rsidR="001A0708">
        <w:rPr>
          <w:lang w:bidi="ar-SA"/>
        </w:rPr>
        <w:t xml:space="preserve">amylase can be used to </w:t>
      </w:r>
      <w:r w:rsidR="0092457D">
        <w:rPr>
          <w:lang w:bidi="ar-SA"/>
        </w:rPr>
        <w:t xml:space="preserve">hydrolyse </w:t>
      </w:r>
      <w:r w:rsidR="005700C4">
        <w:rPr>
          <w:lang w:bidi="ar-SA"/>
        </w:rPr>
        <w:t>the starch in raw materials such</w:t>
      </w:r>
      <w:r w:rsidR="000A38C8">
        <w:rPr>
          <w:lang w:bidi="ar-SA"/>
        </w:rPr>
        <w:t xml:space="preserve"> as malt, rye</w:t>
      </w:r>
      <w:r w:rsidR="000A38C8" w:rsidRPr="0092457D">
        <w:rPr>
          <w:lang w:bidi="ar-SA"/>
        </w:rPr>
        <w:t>, and potatoes</w:t>
      </w:r>
      <w:r w:rsidR="0092457D" w:rsidRPr="0092457D">
        <w:rPr>
          <w:lang w:bidi="ar-SA"/>
        </w:rPr>
        <w:t xml:space="preserve"> </w:t>
      </w:r>
      <w:r w:rsidR="005700C4" w:rsidRPr="0092457D">
        <w:rPr>
          <w:lang w:bidi="ar-SA"/>
        </w:rPr>
        <w:t xml:space="preserve">to sugars </w:t>
      </w:r>
      <w:r w:rsidR="002A15A6">
        <w:rPr>
          <w:lang w:bidi="ar-SA"/>
        </w:rPr>
        <w:t>that</w:t>
      </w:r>
      <w:r w:rsidR="0092457D" w:rsidRPr="0092457D">
        <w:rPr>
          <w:lang w:bidi="ar-SA"/>
        </w:rPr>
        <w:t xml:space="preserve"> </w:t>
      </w:r>
      <w:r w:rsidR="00EE5596">
        <w:rPr>
          <w:lang w:bidi="ar-SA"/>
        </w:rPr>
        <w:t>are fermented</w:t>
      </w:r>
      <w:r w:rsidR="00271AB3">
        <w:rPr>
          <w:lang w:bidi="ar-SA"/>
        </w:rPr>
        <w:t>,</w:t>
      </w:r>
      <w:r w:rsidR="005700C4" w:rsidRPr="0092457D">
        <w:rPr>
          <w:lang w:bidi="ar-SA"/>
        </w:rPr>
        <w:t xml:space="preserve"> forming ethanol</w:t>
      </w:r>
      <w:r w:rsidR="005700C4" w:rsidRPr="005700C4">
        <w:t xml:space="preserve"> </w:t>
      </w:r>
      <w:r w:rsidR="005700C4">
        <w:t>(</w:t>
      </w:r>
      <w:r w:rsidR="005700C4" w:rsidRPr="005700C4">
        <w:rPr>
          <w:lang w:bidi="ar-SA"/>
        </w:rPr>
        <w:t>Nagodawithana and Reed,1993</w:t>
      </w:r>
      <w:r w:rsidR="005700C4">
        <w:rPr>
          <w:lang w:bidi="ar-SA"/>
        </w:rPr>
        <w:t>)</w:t>
      </w:r>
      <w:r w:rsidR="00901592">
        <w:rPr>
          <w:lang w:bidi="ar-SA"/>
        </w:rPr>
        <w:t xml:space="preserve">. </w:t>
      </w:r>
      <w:r w:rsidR="005700C4">
        <w:t xml:space="preserve"> </w:t>
      </w:r>
    </w:p>
    <w:p w14:paraId="38AE5EC2" w14:textId="6562EAC2" w:rsidR="00DD0A32" w:rsidRDefault="00DD0A32" w:rsidP="00CD57C9">
      <w:pPr>
        <w:rPr>
          <w:lang w:bidi="ar-SA"/>
        </w:rPr>
      </w:pPr>
    </w:p>
    <w:p w14:paraId="2961BCDC" w14:textId="5020DC0F" w:rsidR="00310ED7" w:rsidRDefault="00B85015" w:rsidP="00B85015">
      <w:r>
        <w:rPr>
          <w:lang w:bidi="ar-SA"/>
        </w:rPr>
        <w:t>In relation to starch processing, as</w:t>
      </w:r>
      <w:r w:rsidR="00310ED7">
        <w:rPr>
          <w:lang w:bidi="ar-SA"/>
        </w:rPr>
        <w:t xml:space="preserve"> stated by the </w:t>
      </w:r>
      <w:r w:rsidR="007751E9">
        <w:rPr>
          <w:lang w:bidi="ar-SA"/>
        </w:rPr>
        <w:t>applicant</w:t>
      </w:r>
      <w:r w:rsidR="00310ED7">
        <w:rPr>
          <w:lang w:bidi="ar-SA"/>
        </w:rPr>
        <w:t xml:space="preserve"> and </w:t>
      </w:r>
      <w:r w:rsidR="00310ED7" w:rsidRPr="005D54D4">
        <w:rPr>
          <w:lang w:bidi="ar-SA"/>
        </w:rPr>
        <w:t>supported by literature</w:t>
      </w:r>
      <w:r w:rsidR="007751E9" w:rsidRPr="005D54D4">
        <w:rPr>
          <w:lang w:bidi="ar-SA"/>
        </w:rPr>
        <w:t xml:space="preserve"> (Nagodawithana and Reed,1993, </w:t>
      </w:r>
      <w:r w:rsidR="00B26C7E">
        <w:rPr>
          <w:rFonts w:cs="Arial"/>
          <w:szCs w:val="22"/>
        </w:rPr>
        <w:t>Damodaran 2008</w:t>
      </w:r>
      <w:r w:rsidR="007751E9" w:rsidRPr="005D54D4">
        <w:rPr>
          <w:lang w:bidi="ar-SA"/>
        </w:rPr>
        <w:t>)</w:t>
      </w:r>
      <w:r w:rsidR="00310ED7" w:rsidRPr="005D54D4">
        <w:rPr>
          <w:lang w:bidi="ar-SA"/>
        </w:rPr>
        <w:t>, alpha-</w:t>
      </w:r>
      <w:r w:rsidR="0094475A" w:rsidRPr="005D54D4">
        <w:t xml:space="preserve">amylase </w:t>
      </w:r>
      <w:r w:rsidR="00310ED7" w:rsidRPr="005D54D4">
        <w:t>from</w:t>
      </w:r>
      <w:r w:rsidR="00CB112B" w:rsidRPr="005D54D4">
        <w:t xml:space="preserve"> the </w:t>
      </w:r>
      <w:r w:rsidR="00CB112B" w:rsidRPr="00B85015">
        <w:rPr>
          <w:i/>
        </w:rPr>
        <w:t>Bacillus</w:t>
      </w:r>
      <w:r w:rsidR="00CB112B" w:rsidRPr="005D54D4">
        <w:t xml:space="preserve"> species</w:t>
      </w:r>
      <w:r w:rsidR="00310ED7" w:rsidRPr="005D54D4">
        <w:t xml:space="preserve"> can be used </w:t>
      </w:r>
      <w:r w:rsidR="0094475A" w:rsidRPr="005D54D4">
        <w:t>in combination with other enzymes</w:t>
      </w:r>
      <w:r w:rsidR="00310ED7" w:rsidRPr="005D54D4">
        <w:t xml:space="preserve"> to produce sugar syrups. The alpha-amylase is added to a starch slurry </w:t>
      </w:r>
      <w:r w:rsidR="007751E9" w:rsidRPr="005D54D4">
        <w:t xml:space="preserve">at the start of the process </w:t>
      </w:r>
      <w:r w:rsidR="00310ED7" w:rsidRPr="005D54D4">
        <w:t>to liquefy</w:t>
      </w:r>
      <w:r w:rsidR="00373910">
        <w:t xml:space="preserve"> </w:t>
      </w:r>
      <w:r w:rsidR="00310ED7" w:rsidRPr="005D54D4">
        <w:t>the slurry</w:t>
      </w:r>
      <w:r w:rsidR="0081502B">
        <w:t xml:space="preserve"> to a viscosity</w:t>
      </w:r>
      <w:r w:rsidR="001B70AD">
        <w:t xml:space="preserve"> </w:t>
      </w:r>
      <w:r w:rsidR="003E7DB8">
        <w:t xml:space="preserve">which enables efficiencies </w:t>
      </w:r>
      <w:r w:rsidR="001B70AD">
        <w:t xml:space="preserve">for </w:t>
      </w:r>
      <w:r w:rsidR="003E7DB8">
        <w:t xml:space="preserve">starch </w:t>
      </w:r>
      <w:r w:rsidR="001B70AD">
        <w:t>pro</w:t>
      </w:r>
      <w:r w:rsidR="003E7DB8">
        <w:t>cessing</w:t>
      </w:r>
      <w:r w:rsidR="001B70AD">
        <w:t xml:space="preserve"> and end use purposes</w:t>
      </w:r>
      <w:r w:rsidR="007751E9" w:rsidRPr="005D54D4">
        <w:t xml:space="preserve">. </w:t>
      </w:r>
      <w:r>
        <w:t>According to the applicant, th</w:t>
      </w:r>
      <w:r>
        <w:rPr>
          <w:lang w:bidi="ar-SA"/>
        </w:rPr>
        <w:t xml:space="preserve">e resulting substance would be used for </w:t>
      </w:r>
      <w:r w:rsidR="00FE0A02">
        <w:rPr>
          <w:lang w:bidi="ar-SA"/>
        </w:rPr>
        <w:t xml:space="preserve">the </w:t>
      </w:r>
      <w:r>
        <w:rPr>
          <w:lang w:bidi="ar-SA"/>
        </w:rPr>
        <w:t xml:space="preserve">manufacture of starch syrups or could be further treated as glucose-rich syrups that can be </w:t>
      </w:r>
      <w:r w:rsidR="00C2796F">
        <w:rPr>
          <w:lang w:bidi="ar-SA"/>
        </w:rPr>
        <w:t xml:space="preserve">further processed </w:t>
      </w:r>
      <w:r>
        <w:rPr>
          <w:lang w:bidi="ar-SA"/>
        </w:rPr>
        <w:t xml:space="preserve">to meet various specifications: crystallised to produce dextrose, isomerised to produce high fructose corn syrup, or fermented to produce organic acids or amino acids. </w:t>
      </w:r>
      <w:r w:rsidR="007751E9" w:rsidRPr="00B26C7E">
        <w:t>Alpha-amylase sourced from</w:t>
      </w:r>
      <w:r w:rsidR="00CB112B" w:rsidRPr="00B26C7E">
        <w:t xml:space="preserve"> the </w:t>
      </w:r>
      <w:r w:rsidR="00CB112B" w:rsidRPr="00E86827">
        <w:rPr>
          <w:i/>
        </w:rPr>
        <w:t>Bacillus</w:t>
      </w:r>
      <w:r w:rsidR="00CB112B" w:rsidRPr="00B26C7E">
        <w:t xml:space="preserve"> species </w:t>
      </w:r>
      <w:r w:rsidR="007751E9" w:rsidRPr="00B26C7E">
        <w:t>can withstand the temperatures needed during that process</w:t>
      </w:r>
      <w:r w:rsidR="00310ED7" w:rsidRPr="00B26C7E">
        <w:t xml:space="preserve"> </w:t>
      </w:r>
      <w:r w:rsidR="007751E9" w:rsidRPr="00B26C7E">
        <w:t>(Nagodawithana</w:t>
      </w:r>
      <w:r w:rsidR="007751E9" w:rsidRPr="007751E9">
        <w:t xml:space="preserve"> and Reed,1993</w:t>
      </w:r>
      <w:r w:rsidR="00B15F4B">
        <w:t xml:space="preserve">, </w:t>
      </w:r>
      <w:r w:rsidR="00B26C7E" w:rsidRPr="00BD777F">
        <w:rPr>
          <w:rFonts w:cs="Arial"/>
          <w:szCs w:val="22"/>
        </w:rPr>
        <w:t xml:space="preserve">Damodaran </w:t>
      </w:r>
      <w:r w:rsidR="00B26C7E">
        <w:rPr>
          <w:rFonts w:cs="Arial"/>
          <w:szCs w:val="22"/>
        </w:rPr>
        <w:t>2008</w:t>
      </w:r>
      <w:r w:rsidR="007751E9">
        <w:t xml:space="preserve">). </w:t>
      </w:r>
    </w:p>
    <w:p w14:paraId="0FDE8A2F" w14:textId="77777777" w:rsidR="00CD57C9" w:rsidRPr="008D0006" w:rsidRDefault="00CD57C9" w:rsidP="00CD57C9">
      <w:pPr>
        <w:rPr>
          <w:highlight w:val="yellow"/>
        </w:rPr>
      </w:pPr>
    </w:p>
    <w:p w14:paraId="6767EA4A" w14:textId="77777777" w:rsidR="00CD57C9" w:rsidRPr="008D0006" w:rsidRDefault="00CD57C9" w:rsidP="00CD57C9">
      <w:pPr>
        <w:rPr>
          <w:lang w:eastAsia="en-AU" w:bidi="ar-SA"/>
        </w:rPr>
      </w:pPr>
      <w:r w:rsidRPr="008D0006">
        <w:rPr>
          <w:lang w:eastAsia="en-AU" w:bidi="ar-SA"/>
        </w:rPr>
        <w:t>The applicant provided information on the physical and chemical properties of the enzyme preparation. Table 3 summarises this information.</w:t>
      </w:r>
    </w:p>
    <w:p w14:paraId="71FA42F4" w14:textId="5E20B4D8" w:rsidR="002A15A6" w:rsidRDefault="002A15A6" w:rsidP="002A15A6">
      <w:pPr>
        <w:rPr>
          <w:lang w:eastAsia="en-AU" w:bidi="ar-SA"/>
        </w:rPr>
      </w:pPr>
    </w:p>
    <w:p w14:paraId="28E77018" w14:textId="4EAD6629" w:rsidR="002A15A6" w:rsidRDefault="002A15A6" w:rsidP="002A15A6">
      <w:pPr>
        <w:pStyle w:val="FSTableTitle"/>
        <w:keepNext/>
        <w:keepLines/>
        <w:spacing w:after="240"/>
        <w:ind w:left="1134" w:hanging="1134"/>
        <w:rPr>
          <w:b w:val="0"/>
          <w:i/>
          <w:sz w:val="24"/>
        </w:rPr>
      </w:pPr>
      <w:r>
        <w:rPr>
          <w:i/>
        </w:rPr>
        <w:t>Table 3</w:t>
      </w:r>
      <w:r>
        <w:rPr>
          <w:i/>
          <w:szCs w:val="20"/>
        </w:rPr>
        <w:tab/>
      </w:r>
      <w:r>
        <w:rPr>
          <w:b w:val="0"/>
          <w:i/>
        </w:rPr>
        <w:t xml:space="preserve">Physical and chemical properties of alpha amylase </w:t>
      </w:r>
    </w:p>
    <w:tbl>
      <w:tblPr>
        <w:tblStyle w:val="Table"/>
        <w:tblW w:w="9498" w:type="dxa"/>
        <w:tblLayout w:type="fixed"/>
        <w:tblLook w:val="04A0" w:firstRow="1" w:lastRow="0" w:firstColumn="1" w:lastColumn="0" w:noHBand="0" w:noVBand="1"/>
        <w:tblCaption w:val="Alpha-amylase enzyme preparation physical/chemical properties"/>
      </w:tblPr>
      <w:tblGrid>
        <w:gridCol w:w="2943"/>
        <w:gridCol w:w="6555"/>
      </w:tblGrid>
      <w:tr w:rsidR="002A15A6" w14:paraId="6C1E1D3D" w14:textId="77777777" w:rsidTr="004D2A16">
        <w:trPr>
          <w:cnfStyle w:val="100000000000" w:firstRow="1" w:lastRow="0" w:firstColumn="0" w:lastColumn="0" w:oddVBand="0" w:evenVBand="0" w:oddHBand="0" w:evenHBand="0" w:firstRowFirstColumn="0" w:firstRowLastColumn="0" w:lastRowFirstColumn="0" w:lastRowLastColumn="0"/>
          <w:trHeight w:val="108"/>
        </w:trPr>
        <w:tc>
          <w:tcPr>
            <w:tcW w:w="9498" w:type="dxa"/>
            <w:gridSpan w:val="2"/>
            <w:tcBorders>
              <w:top w:val="nil"/>
              <w:left w:val="nil"/>
              <w:bottom w:val="nil"/>
              <w:right w:val="nil"/>
            </w:tcBorders>
            <w:shd w:val="clear" w:color="auto" w:fill="7F7F7F" w:themeFill="text1" w:themeFillTint="80"/>
            <w:hideMark/>
          </w:tcPr>
          <w:p w14:paraId="51C42076" w14:textId="1AB2B6C6" w:rsidR="002A15A6" w:rsidRDefault="002A15A6" w:rsidP="003A1639">
            <w:pPr>
              <w:jc w:val="center"/>
              <w:rPr>
                <w:b w:val="0"/>
                <w:sz w:val="20"/>
                <w:highlight w:val="yellow"/>
                <w:lang w:eastAsia="en-GB"/>
              </w:rPr>
            </w:pPr>
            <w:r>
              <w:rPr>
                <w:b w:val="0"/>
                <w:sz w:val="20"/>
                <w:lang w:eastAsia="en-GB"/>
              </w:rPr>
              <w:t>Physical and chemical properties of commercial enzyme preparation</w:t>
            </w:r>
            <w:r w:rsidR="003A1639">
              <w:rPr>
                <w:b w:val="0"/>
                <w:sz w:val="20"/>
                <w:lang w:eastAsia="en-GB"/>
              </w:rPr>
              <w:t xml:space="preserve"> </w:t>
            </w:r>
          </w:p>
        </w:tc>
      </w:tr>
      <w:tr w:rsidR="002A15A6" w14:paraId="13275FFC" w14:textId="77777777" w:rsidTr="002A15A6">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5A54AD36" w14:textId="77777777" w:rsidR="002A15A6" w:rsidRDefault="002A15A6" w:rsidP="004D2A16">
            <w:pPr>
              <w:autoSpaceDE w:val="0"/>
              <w:autoSpaceDN w:val="0"/>
              <w:adjustRightInd w:val="0"/>
              <w:rPr>
                <w:rFonts w:cs="Arial"/>
                <w:sz w:val="20"/>
                <w:szCs w:val="20"/>
              </w:rPr>
            </w:pPr>
            <w:r>
              <w:rPr>
                <w:rFonts w:cs="Arial"/>
                <w:sz w:val="20"/>
                <w:szCs w:val="20"/>
              </w:rPr>
              <w:t>Enzyme activity</w:t>
            </w:r>
          </w:p>
        </w:tc>
        <w:tc>
          <w:tcPr>
            <w:tcW w:w="6555" w:type="dxa"/>
            <w:tcBorders>
              <w:top w:val="nil"/>
              <w:left w:val="nil"/>
              <w:bottom w:val="nil"/>
              <w:right w:val="nil"/>
            </w:tcBorders>
          </w:tcPr>
          <w:p w14:paraId="7D85DACA" w14:textId="5C1086EA" w:rsidR="002A15A6" w:rsidRDefault="002A15A6" w:rsidP="003A1639">
            <w:pPr>
              <w:autoSpaceDE w:val="0"/>
              <w:autoSpaceDN w:val="0"/>
              <w:adjustRightInd w:val="0"/>
              <w:rPr>
                <w:rFonts w:cs="Arial"/>
                <w:sz w:val="20"/>
                <w:szCs w:val="20"/>
              </w:rPr>
            </w:pPr>
            <w:r>
              <w:rPr>
                <w:rFonts w:cs="Arial"/>
                <w:sz w:val="20"/>
                <w:szCs w:val="20"/>
              </w:rPr>
              <w:t>27150 – 31850 DLU/g</w:t>
            </w:r>
            <w:r w:rsidR="003A1639" w:rsidRPr="003A1639">
              <w:rPr>
                <w:rFonts w:cs="Arial"/>
                <w:sz w:val="20"/>
                <w:szCs w:val="20"/>
                <w:vertAlign w:val="superscript"/>
              </w:rPr>
              <w:t>1</w:t>
            </w:r>
          </w:p>
        </w:tc>
      </w:tr>
      <w:tr w:rsidR="002A15A6" w14:paraId="151B11A9" w14:textId="77777777" w:rsidTr="002A15A6">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689A0FE6" w14:textId="77777777" w:rsidR="002A15A6" w:rsidRDefault="002A15A6" w:rsidP="004D2A16">
            <w:pPr>
              <w:autoSpaceDE w:val="0"/>
              <w:autoSpaceDN w:val="0"/>
              <w:adjustRightInd w:val="0"/>
              <w:rPr>
                <w:rFonts w:cs="Arial"/>
                <w:sz w:val="20"/>
                <w:szCs w:val="20"/>
              </w:rPr>
            </w:pPr>
            <w:r>
              <w:rPr>
                <w:rFonts w:cs="Arial"/>
                <w:sz w:val="20"/>
                <w:szCs w:val="20"/>
              </w:rPr>
              <w:t>Appearance</w:t>
            </w:r>
          </w:p>
        </w:tc>
        <w:tc>
          <w:tcPr>
            <w:tcW w:w="6555" w:type="dxa"/>
            <w:tcBorders>
              <w:top w:val="nil"/>
              <w:left w:val="nil"/>
              <w:bottom w:val="nil"/>
              <w:right w:val="nil"/>
            </w:tcBorders>
          </w:tcPr>
          <w:p w14:paraId="7960E416" w14:textId="67C17219" w:rsidR="002A15A6" w:rsidRDefault="003A1639" w:rsidP="004D2A16">
            <w:pPr>
              <w:autoSpaceDE w:val="0"/>
              <w:autoSpaceDN w:val="0"/>
              <w:adjustRightInd w:val="0"/>
              <w:rPr>
                <w:rFonts w:cs="Arial"/>
                <w:sz w:val="20"/>
                <w:szCs w:val="20"/>
              </w:rPr>
            </w:pPr>
            <w:r>
              <w:rPr>
                <w:rFonts w:cs="Arial"/>
                <w:sz w:val="20"/>
                <w:szCs w:val="20"/>
              </w:rPr>
              <w:t>S</w:t>
            </w:r>
            <w:r w:rsidRPr="003A1639">
              <w:rPr>
                <w:rFonts w:cs="Arial"/>
                <w:sz w:val="20"/>
                <w:szCs w:val="20"/>
              </w:rPr>
              <w:t>ubject to formulation of final enzyme preparation</w:t>
            </w:r>
          </w:p>
        </w:tc>
      </w:tr>
      <w:tr w:rsidR="002A15A6" w14:paraId="40838F22" w14:textId="77777777" w:rsidTr="002A15A6">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4A814900" w14:textId="77777777" w:rsidR="002A15A6" w:rsidRDefault="002A15A6" w:rsidP="004D2A16">
            <w:pPr>
              <w:autoSpaceDE w:val="0"/>
              <w:autoSpaceDN w:val="0"/>
              <w:adjustRightInd w:val="0"/>
              <w:rPr>
                <w:rFonts w:cs="Arial"/>
                <w:sz w:val="20"/>
                <w:szCs w:val="20"/>
              </w:rPr>
            </w:pPr>
            <w:r>
              <w:rPr>
                <w:rFonts w:cs="Arial"/>
                <w:sz w:val="20"/>
                <w:szCs w:val="20"/>
              </w:rPr>
              <w:t>Temperature range</w:t>
            </w:r>
          </w:p>
        </w:tc>
        <w:tc>
          <w:tcPr>
            <w:tcW w:w="6555" w:type="dxa"/>
            <w:tcBorders>
              <w:top w:val="nil"/>
              <w:left w:val="nil"/>
              <w:bottom w:val="nil"/>
              <w:right w:val="nil"/>
            </w:tcBorders>
          </w:tcPr>
          <w:p w14:paraId="5CDA5F36" w14:textId="5729938C" w:rsidR="002A15A6" w:rsidRDefault="002A15A6" w:rsidP="004D2A16">
            <w:pPr>
              <w:autoSpaceDE w:val="0"/>
              <w:autoSpaceDN w:val="0"/>
              <w:adjustRightInd w:val="0"/>
              <w:rPr>
                <w:rFonts w:cs="Arial"/>
                <w:sz w:val="20"/>
                <w:szCs w:val="20"/>
              </w:rPr>
            </w:pPr>
            <w:r>
              <w:rPr>
                <w:rFonts w:cs="Arial"/>
                <w:sz w:val="20"/>
                <w:szCs w:val="20"/>
              </w:rPr>
              <w:t>Optimum 60-70</w:t>
            </w:r>
            <w:r w:rsidR="008D0006">
              <w:rPr>
                <w:rFonts w:cs="Arial"/>
                <w:sz w:val="20"/>
                <w:szCs w:val="20"/>
              </w:rPr>
              <w:t>°C</w:t>
            </w:r>
          </w:p>
        </w:tc>
      </w:tr>
      <w:tr w:rsidR="002A15A6" w14:paraId="5A487212" w14:textId="77777777" w:rsidTr="002A15A6">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1216D024" w14:textId="77777777" w:rsidR="002A15A6" w:rsidRDefault="002A15A6" w:rsidP="004D2A16">
            <w:pPr>
              <w:autoSpaceDE w:val="0"/>
              <w:autoSpaceDN w:val="0"/>
              <w:adjustRightInd w:val="0"/>
              <w:rPr>
                <w:rFonts w:cs="Arial"/>
                <w:sz w:val="20"/>
                <w:szCs w:val="20"/>
              </w:rPr>
            </w:pPr>
            <w:r>
              <w:rPr>
                <w:rFonts w:cs="Arial"/>
                <w:sz w:val="20"/>
                <w:szCs w:val="20"/>
              </w:rPr>
              <w:t>Storage stability</w:t>
            </w:r>
          </w:p>
        </w:tc>
        <w:tc>
          <w:tcPr>
            <w:tcW w:w="6555" w:type="dxa"/>
            <w:tcBorders>
              <w:top w:val="nil"/>
              <w:left w:val="nil"/>
              <w:bottom w:val="nil"/>
              <w:right w:val="nil"/>
            </w:tcBorders>
          </w:tcPr>
          <w:p w14:paraId="103B9ED1" w14:textId="59BAA573" w:rsidR="002A15A6" w:rsidRDefault="003A1639" w:rsidP="004D2A16">
            <w:pPr>
              <w:autoSpaceDE w:val="0"/>
              <w:autoSpaceDN w:val="0"/>
              <w:adjustRightInd w:val="0"/>
              <w:rPr>
                <w:rFonts w:cs="Arial"/>
                <w:sz w:val="20"/>
                <w:szCs w:val="20"/>
              </w:rPr>
            </w:pPr>
            <w:r>
              <w:rPr>
                <w:rFonts w:cs="Arial"/>
                <w:sz w:val="20"/>
                <w:szCs w:val="20"/>
              </w:rPr>
              <w:t>Stable for 20 months at room temperature (&gt;80% activity remaining)</w:t>
            </w:r>
            <w:r w:rsidR="00C93C74" w:rsidRPr="00C93C74">
              <w:rPr>
                <w:rFonts w:cs="Arial"/>
                <w:sz w:val="20"/>
                <w:szCs w:val="20"/>
                <w:vertAlign w:val="superscript"/>
              </w:rPr>
              <w:t>2</w:t>
            </w:r>
          </w:p>
        </w:tc>
      </w:tr>
    </w:tbl>
    <w:p w14:paraId="0B8A560F" w14:textId="25D3B102" w:rsidR="001E459C" w:rsidRDefault="003A1639" w:rsidP="001E459C">
      <w:pPr>
        <w:rPr>
          <w:sz w:val="18"/>
          <w:szCs w:val="18"/>
          <w:lang w:bidi="ar-SA"/>
        </w:rPr>
      </w:pPr>
      <w:r>
        <w:rPr>
          <w:sz w:val="18"/>
          <w:szCs w:val="18"/>
          <w:lang w:bidi="ar-SA"/>
        </w:rPr>
        <w:t xml:space="preserve">1 </w:t>
      </w:r>
      <w:r w:rsidR="002A15A6" w:rsidRPr="008D0006">
        <w:rPr>
          <w:sz w:val="18"/>
          <w:szCs w:val="18"/>
          <w:lang w:bidi="ar-SA"/>
        </w:rPr>
        <w:t>Example only</w:t>
      </w:r>
      <w:r w:rsidR="00C93C74">
        <w:rPr>
          <w:sz w:val="18"/>
          <w:szCs w:val="18"/>
          <w:lang w:bidi="ar-SA"/>
        </w:rPr>
        <w:t xml:space="preserve"> (Spezyme SL)</w:t>
      </w:r>
      <w:r w:rsidR="00D12658">
        <w:rPr>
          <w:sz w:val="18"/>
          <w:szCs w:val="18"/>
          <w:lang w:bidi="ar-SA"/>
        </w:rPr>
        <w:t>. E</w:t>
      </w:r>
      <w:r w:rsidR="002A15A6" w:rsidRPr="008D0006">
        <w:rPr>
          <w:sz w:val="18"/>
          <w:szCs w:val="18"/>
          <w:lang w:bidi="ar-SA"/>
        </w:rPr>
        <w:t xml:space="preserve">nzyme activity is subject to the enzyme preparation. </w:t>
      </w:r>
      <w:r w:rsidR="008D0006" w:rsidRPr="008D0006">
        <w:rPr>
          <w:sz w:val="18"/>
          <w:szCs w:val="18"/>
          <w:lang w:bidi="ar-SA"/>
        </w:rPr>
        <w:t>Determined using the Applicant’s ass</w:t>
      </w:r>
      <w:r w:rsidR="002A15A6" w:rsidRPr="008D0006">
        <w:rPr>
          <w:sz w:val="18"/>
          <w:szCs w:val="18"/>
          <w:lang w:bidi="ar-SA"/>
        </w:rPr>
        <w:t>ay method</w:t>
      </w:r>
      <w:r w:rsidR="008D0006" w:rsidRPr="008D0006">
        <w:rPr>
          <w:sz w:val="18"/>
          <w:szCs w:val="18"/>
          <w:lang w:bidi="ar-SA"/>
        </w:rPr>
        <w:t xml:space="preserve">. </w:t>
      </w:r>
    </w:p>
    <w:p w14:paraId="0A48F4A4" w14:textId="264BF5C5" w:rsidR="003A1639" w:rsidRDefault="003A1639" w:rsidP="001E459C">
      <w:pPr>
        <w:rPr>
          <w:sz w:val="18"/>
          <w:szCs w:val="18"/>
          <w:lang w:bidi="ar-SA"/>
        </w:rPr>
      </w:pPr>
      <w:r w:rsidRPr="00C93C74">
        <w:rPr>
          <w:sz w:val="18"/>
          <w:szCs w:val="18"/>
          <w:lang w:bidi="ar-SA"/>
        </w:rPr>
        <w:t>2 Example only</w:t>
      </w:r>
      <w:r w:rsidR="00C93C74" w:rsidRPr="00C93C74">
        <w:rPr>
          <w:sz w:val="18"/>
          <w:szCs w:val="18"/>
          <w:lang w:bidi="ar-SA"/>
        </w:rPr>
        <w:t xml:space="preserve"> (Spezyme SL)</w:t>
      </w:r>
      <w:r w:rsidRPr="00C93C74">
        <w:rPr>
          <w:sz w:val="18"/>
          <w:szCs w:val="18"/>
          <w:lang w:bidi="ar-SA"/>
        </w:rPr>
        <w:t xml:space="preserve">, subject to formulation of final enzyme preparation </w:t>
      </w:r>
    </w:p>
    <w:p w14:paraId="4B204176" w14:textId="50E6F804" w:rsidR="0085655B" w:rsidRDefault="0085655B" w:rsidP="001E459C">
      <w:pPr>
        <w:rPr>
          <w:sz w:val="18"/>
          <w:szCs w:val="18"/>
          <w:lang w:bidi="ar-SA"/>
        </w:rPr>
      </w:pPr>
    </w:p>
    <w:p w14:paraId="1D56F0A5" w14:textId="04CD3FA2" w:rsidR="0085655B" w:rsidRDefault="0085655B" w:rsidP="0085655B">
      <w:pPr>
        <w:rPr>
          <w:lang w:bidi="ar-SA"/>
        </w:rPr>
      </w:pPr>
      <w:r>
        <w:rPr>
          <w:lang w:bidi="ar-SA"/>
        </w:rPr>
        <w:t xml:space="preserve">As alpha-amylase performs it’s technological function during the production of the foods mentioned above it would be regarded </w:t>
      </w:r>
      <w:r w:rsidR="00FE0A02">
        <w:rPr>
          <w:lang w:bidi="ar-SA"/>
        </w:rPr>
        <w:t xml:space="preserve">by FSANZ </w:t>
      </w:r>
      <w:r>
        <w:rPr>
          <w:lang w:bidi="ar-SA"/>
        </w:rPr>
        <w:t xml:space="preserve">as </w:t>
      </w:r>
      <w:r w:rsidR="007C31FF">
        <w:rPr>
          <w:lang w:bidi="ar-SA"/>
        </w:rPr>
        <w:t xml:space="preserve">functioning as a </w:t>
      </w:r>
      <w:r>
        <w:rPr>
          <w:lang w:bidi="ar-SA"/>
        </w:rPr>
        <w:t xml:space="preserve">processing aid </w:t>
      </w:r>
      <w:r w:rsidR="007C31FF">
        <w:rPr>
          <w:lang w:bidi="ar-SA"/>
        </w:rPr>
        <w:t>for the purposes of</w:t>
      </w:r>
      <w:r>
        <w:rPr>
          <w:lang w:bidi="ar-SA"/>
        </w:rPr>
        <w:t xml:space="preserve"> the Code. </w:t>
      </w:r>
    </w:p>
    <w:p w14:paraId="2B5AB71E" w14:textId="77777777" w:rsidR="0085655B" w:rsidRDefault="0085655B" w:rsidP="0085655B">
      <w:pPr>
        <w:rPr>
          <w:lang w:bidi="ar-SA"/>
        </w:rPr>
      </w:pPr>
    </w:p>
    <w:p w14:paraId="47C58D9D" w14:textId="522FD72F" w:rsidR="0085655B" w:rsidRPr="00C93C74" w:rsidRDefault="0085655B" w:rsidP="0085655B">
      <w:pPr>
        <w:rPr>
          <w:lang w:bidi="ar-SA"/>
        </w:rPr>
      </w:pPr>
      <w:r>
        <w:rPr>
          <w:lang w:bidi="ar-SA"/>
        </w:rPr>
        <w:t>Use of commercial enzyme preparations should follow Good Manufacturing Practice (GMP), where use is at a level that is not higher than that necessary to achieve the desired enzymatic reaction. The applicant stated that the enzyme would be used at GMP levels.</w:t>
      </w:r>
    </w:p>
    <w:p w14:paraId="66D4357C" w14:textId="3BB3BB62" w:rsidR="00250F95" w:rsidRDefault="00250F95" w:rsidP="00EF6B4F">
      <w:pPr>
        <w:pStyle w:val="Heading2"/>
      </w:pPr>
      <w:bookmarkStart w:id="21" w:name="_Toc103064641"/>
      <w:bookmarkStart w:id="22" w:name="_Toc98407522"/>
      <w:r w:rsidRPr="00A92B6C">
        <w:t>2.</w:t>
      </w:r>
      <w:r w:rsidR="00223913" w:rsidRPr="00A92B6C">
        <w:t>4</w:t>
      </w:r>
      <w:r w:rsidRPr="00A92B6C">
        <w:tab/>
        <w:t>Technological justification</w:t>
      </w:r>
      <w:bookmarkEnd w:id="21"/>
      <w:r w:rsidRPr="00A92B6C">
        <w:t xml:space="preserve"> </w:t>
      </w:r>
      <w:bookmarkEnd w:id="22"/>
    </w:p>
    <w:p w14:paraId="2A103837" w14:textId="715FCFED" w:rsidR="00745A88" w:rsidRDefault="003A1639" w:rsidP="003A1639">
      <w:pPr>
        <w:rPr>
          <w:lang w:bidi="ar-SA"/>
        </w:rPr>
      </w:pPr>
      <w:r>
        <w:rPr>
          <w:lang w:bidi="ar-SA"/>
        </w:rPr>
        <w:t xml:space="preserve">As outlined above, </w:t>
      </w:r>
      <w:r w:rsidR="00B26C7E">
        <w:rPr>
          <w:lang w:bidi="ar-SA"/>
        </w:rPr>
        <w:t>alpha-</w:t>
      </w:r>
      <w:r w:rsidR="0083789E">
        <w:rPr>
          <w:lang w:bidi="ar-SA"/>
        </w:rPr>
        <w:t xml:space="preserve">amylase is used to catalyse the breakdown of starch to free sugar groups. It can be used to liquefy starch during the production of </w:t>
      </w:r>
      <w:r w:rsidR="00C93C74">
        <w:rPr>
          <w:lang w:bidi="ar-SA"/>
        </w:rPr>
        <w:t xml:space="preserve">sugar syrups made from starch. In </w:t>
      </w:r>
      <w:r w:rsidR="0083789E">
        <w:rPr>
          <w:lang w:bidi="ar-SA"/>
        </w:rPr>
        <w:t>brewed beverages</w:t>
      </w:r>
      <w:r w:rsidR="00C93C74">
        <w:rPr>
          <w:lang w:bidi="ar-SA"/>
        </w:rPr>
        <w:t xml:space="preserve"> and </w:t>
      </w:r>
      <w:r w:rsidR="0083789E">
        <w:rPr>
          <w:lang w:bidi="ar-SA"/>
        </w:rPr>
        <w:t>potable alcohol</w:t>
      </w:r>
      <w:r w:rsidR="00C93C74">
        <w:rPr>
          <w:lang w:bidi="ar-SA"/>
        </w:rPr>
        <w:t xml:space="preserve"> it</w:t>
      </w:r>
      <w:r w:rsidR="00C93C74" w:rsidRPr="00C93C74">
        <w:t xml:space="preserve"> </w:t>
      </w:r>
      <w:r w:rsidR="00C93C74">
        <w:t>i</w:t>
      </w:r>
      <w:r w:rsidR="00C93C74" w:rsidRPr="00C93C74">
        <w:rPr>
          <w:lang w:bidi="ar-SA"/>
        </w:rPr>
        <w:t xml:space="preserve">s used to maximise the conversion of </w:t>
      </w:r>
      <w:r w:rsidR="00745A88">
        <w:rPr>
          <w:lang w:bidi="ar-SA"/>
        </w:rPr>
        <w:t xml:space="preserve"> </w:t>
      </w:r>
      <w:r w:rsidR="00C93C74" w:rsidRPr="00C93C74">
        <w:rPr>
          <w:lang w:bidi="ar-SA"/>
        </w:rPr>
        <w:t>starchy substrates to fermentable carbohydrate</w:t>
      </w:r>
      <w:r w:rsidR="00C93C74">
        <w:rPr>
          <w:lang w:bidi="ar-SA"/>
        </w:rPr>
        <w:t>.</w:t>
      </w:r>
      <w:r w:rsidR="00745A88">
        <w:rPr>
          <w:lang w:bidi="ar-SA"/>
        </w:rPr>
        <w:t xml:space="preserve"> Its use as requested by the applicant is therefore technologically justified. </w:t>
      </w:r>
    </w:p>
    <w:p w14:paraId="1F14931F" w14:textId="77777777" w:rsidR="00745A88" w:rsidRDefault="00745A88" w:rsidP="003A1639">
      <w:pPr>
        <w:rPr>
          <w:lang w:bidi="ar-SA"/>
        </w:rPr>
      </w:pPr>
    </w:p>
    <w:p w14:paraId="6E84D37D" w14:textId="10F770CB" w:rsidR="00D12658" w:rsidRDefault="00D12658" w:rsidP="00D12658">
      <w:pPr>
        <w:pStyle w:val="Heading2"/>
        <w:rPr>
          <w:b w:val="0"/>
          <w:bCs w:val="0"/>
        </w:rPr>
      </w:pPr>
      <w:bookmarkStart w:id="23" w:name="_Toc472327053"/>
      <w:bookmarkStart w:id="24" w:name="_Toc501699827"/>
      <w:bookmarkStart w:id="25" w:name="_Toc98407523"/>
      <w:r>
        <w:br w:type="page"/>
      </w:r>
    </w:p>
    <w:p w14:paraId="7855AD6F" w14:textId="3535DDA5" w:rsidR="001E6A7B" w:rsidRDefault="001E6A7B" w:rsidP="00EF6B4F">
      <w:pPr>
        <w:pStyle w:val="Heading2"/>
      </w:pPr>
      <w:bookmarkStart w:id="26" w:name="_Toc103064642"/>
      <w:r w:rsidRPr="00A92B6C">
        <w:lastRenderedPageBreak/>
        <w:t>2.</w:t>
      </w:r>
      <w:r w:rsidR="00FF242D">
        <w:t>5</w:t>
      </w:r>
      <w:r w:rsidRPr="00A92B6C">
        <w:tab/>
        <w:t>Food technology conclusion</w:t>
      </w:r>
      <w:bookmarkEnd w:id="23"/>
      <w:bookmarkEnd w:id="24"/>
      <w:bookmarkEnd w:id="25"/>
      <w:bookmarkEnd w:id="26"/>
    </w:p>
    <w:p w14:paraId="079270AB" w14:textId="27ACFFB3" w:rsidR="00ED6053" w:rsidRDefault="00745A88" w:rsidP="00745A88">
      <w:pPr>
        <w:rPr>
          <w:lang w:bidi="ar-SA"/>
        </w:rPr>
      </w:pPr>
      <w:r>
        <w:rPr>
          <w:lang w:bidi="ar-SA"/>
        </w:rPr>
        <w:t>FSANZ concludes that</w:t>
      </w:r>
      <w:r w:rsidR="00B26C7E">
        <w:rPr>
          <w:lang w:bidi="ar-SA"/>
        </w:rPr>
        <w:t xml:space="preserve"> the proposed use of this alpha-</w:t>
      </w:r>
      <w:r>
        <w:rPr>
          <w:lang w:bidi="ar-SA"/>
        </w:rPr>
        <w:t xml:space="preserve">amylase in starch processing, brewing of beverages and production of potable alcohol is consistent with its typical function </w:t>
      </w:r>
      <w:r w:rsidR="00ED6053">
        <w:rPr>
          <w:lang w:bidi="ar-SA"/>
        </w:rPr>
        <w:t xml:space="preserve">of catalysing the hydrolysis of starch. </w:t>
      </w:r>
    </w:p>
    <w:p w14:paraId="1E505BAF" w14:textId="77777777" w:rsidR="00ED6053" w:rsidRDefault="00ED6053" w:rsidP="00745A88">
      <w:pPr>
        <w:rPr>
          <w:lang w:bidi="ar-SA"/>
        </w:rPr>
      </w:pPr>
    </w:p>
    <w:p w14:paraId="3BD6557F" w14:textId="527A211F" w:rsidR="00745A88" w:rsidRDefault="00ED6053" w:rsidP="00745A88">
      <w:pPr>
        <w:rPr>
          <w:lang w:bidi="ar-SA"/>
        </w:rPr>
      </w:pPr>
      <w:r>
        <w:rPr>
          <w:lang w:bidi="ar-SA"/>
        </w:rPr>
        <w:t>Analysis of t</w:t>
      </w:r>
      <w:r w:rsidR="00745A88">
        <w:rPr>
          <w:lang w:bidi="ar-SA"/>
        </w:rPr>
        <w:t>he evidence provides adequate assurance that the proposed use of the enzyme, at a level not higher than necessary to achieve the desired enzyme reaction (i.e. according to GMP levels)</w:t>
      </w:r>
      <w:r w:rsidR="00B26C7E">
        <w:rPr>
          <w:lang w:bidi="ar-SA"/>
        </w:rPr>
        <w:t>,</w:t>
      </w:r>
      <w:r w:rsidR="00745A88">
        <w:rPr>
          <w:lang w:bidi="ar-SA"/>
        </w:rPr>
        <w:t xml:space="preserve"> is technologically justified</w:t>
      </w:r>
      <w:r>
        <w:rPr>
          <w:lang w:bidi="ar-SA"/>
        </w:rPr>
        <w:t xml:space="preserve">. </w:t>
      </w:r>
    </w:p>
    <w:p w14:paraId="289ACEE4" w14:textId="77777777" w:rsidR="00745A88" w:rsidRDefault="00745A88" w:rsidP="00745A88">
      <w:pPr>
        <w:rPr>
          <w:lang w:bidi="ar-SA"/>
        </w:rPr>
      </w:pPr>
    </w:p>
    <w:p w14:paraId="55FFCDEE" w14:textId="3E141B9E" w:rsidR="00745A88" w:rsidRDefault="00B26C7E" w:rsidP="00745A88">
      <w:pPr>
        <w:rPr>
          <w:lang w:bidi="ar-SA"/>
        </w:rPr>
      </w:pPr>
      <w:r>
        <w:rPr>
          <w:lang w:bidi="ar-SA"/>
        </w:rPr>
        <w:t>Alpha-</w:t>
      </w:r>
      <w:r w:rsidR="00ED6053">
        <w:rPr>
          <w:lang w:bidi="ar-SA"/>
        </w:rPr>
        <w:t xml:space="preserve">amylase </w:t>
      </w:r>
      <w:r w:rsidR="00745A88">
        <w:rPr>
          <w:lang w:bidi="ar-SA"/>
        </w:rPr>
        <w:t>performs its technological purpose during the production of food and is not performing a technological purpose in the final food. It is therefore appropriately categorised as a processing aid as defined in the Code.</w:t>
      </w:r>
    </w:p>
    <w:p w14:paraId="518BF9C7" w14:textId="77777777" w:rsidR="00745A88" w:rsidRDefault="00745A88" w:rsidP="00745A88">
      <w:pPr>
        <w:rPr>
          <w:lang w:bidi="ar-SA"/>
        </w:rPr>
      </w:pPr>
    </w:p>
    <w:p w14:paraId="0ECDD0C5" w14:textId="481E7405" w:rsidR="00745A88" w:rsidRPr="00745A88" w:rsidRDefault="00745A88" w:rsidP="00745A88">
      <w:pPr>
        <w:rPr>
          <w:lang w:bidi="ar-SA"/>
        </w:rPr>
      </w:pPr>
      <w:r>
        <w:rPr>
          <w:lang w:bidi="ar-SA"/>
        </w:rPr>
        <w:t xml:space="preserve">There are relevant identity and purity specifications </w:t>
      </w:r>
      <w:r w:rsidR="00E86827">
        <w:rPr>
          <w:lang w:bidi="ar-SA"/>
        </w:rPr>
        <w:t>in the Code that</w:t>
      </w:r>
      <w:r>
        <w:rPr>
          <w:lang w:bidi="ar-SA"/>
        </w:rPr>
        <w:t xml:space="preserve"> enzyme</w:t>
      </w:r>
      <w:r w:rsidR="00E86827">
        <w:rPr>
          <w:lang w:bidi="ar-SA"/>
        </w:rPr>
        <w:t xml:space="preserve"> preparations containing this enzyme would need to meet if its use is approved.</w:t>
      </w:r>
      <w:r>
        <w:rPr>
          <w:lang w:bidi="ar-SA"/>
        </w:rPr>
        <w:t xml:space="preserve"> </w:t>
      </w:r>
    </w:p>
    <w:p w14:paraId="5B2C9CE0" w14:textId="66AA824F" w:rsidR="00CA3849" w:rsidRPr="00A92B6C" w:rsidRDefault="00CA3849" w:rsidP="00BD59CB">
      <w:pPr>
        <w:pStyle w:val="Heading1"/>
        <w:ind w:left="567" w:hanging="567"/>
      </w:pPr>
      <w:bookmarkStart w:id="27" w:name="_Toc505255637"/>
      <w:bookmarkStart w:id="28" w:name="_Toc98407524"/>
      <w:bookmarkStart w:id="29" w:name="_Toc103064643"/>
      <w:r w:rsidRPr="00A92B6C">
        <w:t>3</w:t>
      </w:r>
      <w:r w:rsidR="00BD59CB" w:rsidRPr="00A92B6C">
        <w:tab/>
      </w:r>
      <w:r w:rsidRPr="00A92B6C">
        <w:t>Safety assessment</w:t>
      </w:r>
      <w:bookmarkStart w:id="30" w:name="_Toc471740081"/>
      <w:bookmarkStart w:id="31" w:name="_Toc499282437"/>
      <w:bookmarkEnd w:id="27"/>
      <w:bookmarkEnd w:id="28"/>
      <w:bookmarkEnd w:id="29"/>
    </w:p>
    <w:p w14:paraId="3D6D4F4C" w14:textId="4FC25F32" w:rsidR="00CA3849" w:rsidRPr="00A92B6C" w:rsidRDefault="00CA3849" w:rsidP="00EF6B4F">
      <w:pPr>
        <w:pStyle w:val="Heading2"/>
      </w:pPr>
      <w:bookmarkStart w:id="32" w:name="_Toc471740085"/>
      <w:bookmarkStart w:id="33" w:name="_Toc499282440"/>
      <w:bookmarkStart w:id="34" w:name="_Toc505255639"/>
      <w:bookmarkStart w:id="35" w:name="_Toc98407525"/>
      <w:bookmarkStart w:id="36" w:name="_Toc103064644"/>
      <w:bookmarkEnd w:id="30"/>
      <w:bookmarkEnd w:id="31"/>
      <w:r w:rsidRPr="00A92B6C">
        <w:t>3.</w:t>
      </w:r>
      <w:bookmarkEnd w:id="32"/>
      <w:r w:rsidR="00DB15BB" w:rsidRPr="00A92B6C">
        <w:t>1</w:t>
      </w:r>
      <w:r w:rsidR="001E6A7B" w:rsidRPr="00A92B6C">
        <w:tab/>
      </w:r>
      <w:r w:rsidRPr="00A92B6C">
        <w:t>History of use</w:t>
      </w:r>
      <w:bookmarkEnd w:id="33"/>
      <w:bookmarkEnd w:id="34"/>
      <w:bookmarkEnd w:id="35"/>
      <w:bookmarkEnd w:id="36"/>
    </w:p>
    <w:p w14:paraId="32E66001" w14:textId="6BD22DA7" w:rsidR="002D1249" w:rsidRDefault="002D1249" w:rsidP="002D1249">
      <w:pPr>
        <w:rPr>
          <w:rFonts w:cs="Arial"/>
          <w:lang w:eastAsia="en-AU"/>
        </w:rPr>
      </w:pPr>
      <w:bookmarkStart w:id="37" w:name="_Toc498940968"/>
      <w:bookmarkStart w:id="38" w:name="_Toc499282441"/>
      <w:r w:rsidRPr="008C4407">
        <w:rPr>
          <w:lang w:bidi="ar-SA"/>
        </w:rPr>
        <w:t>Some information</w:t>
      </w:r>
      <w:r>
        <w:rPr>
          <w:lang w:bidi="ar-SA"/>
        </w:rPr>
        <w:t xml:space="preserve"> relevant to this section</w:t>
      </w:r>
      <w:r w:rsidRPr="008C4407">
        <w:rPr>
          <w:lang w:bidi="ar-SA"/>
        </w:rPr>
        <w:t xml:space="preserve"> is Confidential Commercial Information (CCI)</w:t>
      </w:r>
      <w:r>
        <w:rPr>
          <w:lang w:bidi="ar-SA"/>
        </w:rPr>
        <w:t>,</w:t>
      </w:r>
      <w:r w:rsidRPr="008C4407">
        <w:rPr>
          <w:lang w:bidi="ar-SA"/>
        </w:rPr>
        <w:t xml:space="preserve"> so </w:t>
      </w:r>
      <w:r>
        <w:rPr>
          <w:lang w:bidi="ar-SA"/>
        </w:rPr>
        <w:t xml:space="preserve">full details </w:t>
      </w:r>
      <w:r w:rsidRPr="008C4407">
        <w:rPr>
          <w:lang w:bidi="ar-SA"/>
        </w:rPr>
        <w:t>cann</w:t>
      </w:r>
      <w:r>
        <w:rPr>
          <w:lang w:bidi="ar-SA"/>
        </w:rPr>
        <w:t>ot be provided in this public report.</w:t>
      </w:r>
    </w:p>
    <w:p w14:paraId="2587F027" w14:textId="194058D8" w:rsidR="00CA3849" w:rsidRPr="00A92B6C" w:rsidRDefault="00DB15BB" w:rsidP="009925D0">
      <w:pPr>
        <w:pStyle w:val="Heading3"/>
      </w:pPr>
      <w:r w:rsidRPr="00A92B6C">
        <w:t>3.1</w:t>
      </w:r>
      <w:r w:rsidR="00CA3849" w:rsidRPr="00A92B6C">
        <w:t>.1</w:t>
      </w:r>
      <w:r w:rsidR="0035149D" w:rsidRPr="00A92B6C">
        <w:tab/>
      </w:r>
      <w:r w:rsidR="00CA3849" w:rsidRPr="00A92B6C">
        <w:t>Host organism</w:t>
      </w:r>
      <w:bookmarkEnd w:id="37"/>
      <w:bookmarkEnd w:id="38"/>
      <w:r w:rsidR="00CA3849" w:rsidRPr="00A92B6C">
        <w:t xml:space="preserve"> </w:t>
      </w:r>
    </w:p>
    <w:p w14:paraId="7327F9C9" w14:textId="21714FCA" w:rsidR="00396395" w:rsidRPr="001D53EE" w:rsidRDefault="00396395" w:rsidP="00396395">
      <w:pPr>
        <w:rPr>
          <w:rFonts w:cs="Arial"/>
          <w:lang w:eastAsia="en-AU"/>
        </w:rPr>
      </w:pPr>
      <w:bookmarkStart w:id="39" w:name="_Toc498940969"/>
      <w:bookmarkStart w:id="40" w:name="_Toc499282442"/>
      <w:r w:rsidRPr="6663AD0D">
        <w:rPr>
          <w:rFonts w:cs="Arial"/>
          <w:lang w:eastAsia="en-AU"/>
        </w:rPr>
        <w:t xml:space="preserve">There is a long history of safe industrial use of </w:t>
      </w:r>
      <w:r w:rsidRPr="6663AD0D">
        <w:rPr>
          <w:rFonts w:cs="Arial"/>
          <w:i/>
          <w:iCs/>
          <w:lang w:eastAsia="en-AU"/>
        </w:rPr>
        <w:t>B. licheniformis</w:t>
      </w:r>
      <w:r w:rsidRPr="6663AD0D">
        <w:rPr>
          <w:rFonts w:cs="Arial"/>
          <w:lang w:eastAsia="en-AU"/>
        </w:rPr>
        <w:t xml:space="preserve"> strains as a microorganism to produce enzymes for food processing (de Bore et al., 1994; </w:t>
      </w:r>
      <w:r w:rsidRPr="6663AD0D">
        <w:rPr>
          <w:rFonts w:cs="Arial"/>
        </w:rPr>
        <w:t xml:space="preserve">Sewalt et al., 2018; </w:t>
      </w:r>
      <w:r w:rsidRPr="6663AD0D">
        <w:rPr>
          <w:rFonts w:cs="Arial"/>
          <w:lang w:eastAsia="en-AU"/>
        </w:rPr>
        <w:t xml:space="preserve">Muras et al., 2021). </w:t>
      </w:r>
      <w:r w:rsidRPr="6663AD0D">
        <w:rPr>
          <w:rFonts w:cs="Arial"/>
        </w:rPr>
        <w:t xml:space="preserve">From literature available, </w:t>
      </w:r>
      <w:r w:rsidR="009E5D76" w:rsidRPr="6663AD0D">
        <w:rPr>
          <w:rFonts w:cs="Arial"/>
        </w:rPr>
        <w:t>there are no</w:t>
      </w:r>
      <w:r w:rsidRPr="6663AD0D">
        <w:rPr>
          <w:rFonts w:cs="Arial"/>
          <w:lang w:eastAsia="en-AU"/>
        </w:rPr>
        <w:t xml:space="preserve"> published reports suggest</w:t>
      </w:r>
      <w:r w:rsidR="0028007F" w:rsidRPr="6663AD0D">
        <w:rPr>
          <w:rFonts w:cs="Arial"/>
          <w:lang w:eastAsia="en-AU"/>
        </w:rPr>
        <w:t>ing</w:t>
      </w:r>
      <w:r w:rsidRPr="6663AD0D">
        <w:rPr>
          <w:rFonts w:cs="Arial"/>
          <w:lang w:eastAsia="en-AU"/>
        </w:rPr>
        <w:t xml:space="preserve"> any invasive properties of this microorganism to human health. </w:t>
      </w:r>
    </w:p>
    <w:p w14:paraId="5FA6877C" w14:textId="77777777" w:rsidR="00396395" w:rsidRPr="001D53EE" w:rsidRDefault="00396395" w:rsidP="00396395">
      <w:pPr>
        <w:rPr>
          <w:rFonts w:cs="Arial"/>
        </w:rPr>
      </w:pPr>
    </w:p>
    <w:p w14:paraId="6CCED022" w14:textId="56F09B11" w:rsidR="00396395" w:rsidRPr="001D53EE" w:rsidRDefault="00396395" w:rsidP="00396395">
      <w:pPr>
        <w:rPr>
          <w:rFonts w:cs="Arial"/>
        </w:rPr>
      </w:pPr>
      <w:r w:rsidRPr="001D53EE">
        <w:rPr>
          <w:rFonts w:cs="Arial"/>
          <w:i/>
        </w:rPr>
        <w:t>Bacillus licheniformis</w:t>
      </w:r>
      <w:r w:rsidRPr="001D53EE">
        <w:rPr>
          <w:rFonts w:cs="Arial"/>
        </w:rPr>
        <w:t xml:space="preserve"> is a gram-positive, endospore-forming, mesophilic and facultative anaerobic bacterium, present in soil and </w:t>
      </w:r>
      <w:r w:rsidR="0028007F">
        <w:rPr>
          <w:rFonts w:cs="Arial"/>
        </w:rPr>
        <w:t xml:space="preserve">the </w:t>
      </w:r>
      <w:r w:rsidRPr="001D53EE">
        <w:rPr>
          <w:rFonts w:cs="Arial"/>
        </w:rPr>
        <w:t>marine environment.</w:t>
      </w:r>
      <w:r w:rsidRPr="001D53EE">
        <w:rPr>
          <w:rFonts w:cs="Arial"/>
          <w:color w:val="202122"/>
        </w:rPr>
        <w:t xml:space="preserve"> </w:t>
      </w:r>
      <w:r w:rsidRPr="001D53EE">
        <w:rPr>
          <w:rFonts w:cs="Arial"/>
        </w:rPr>
        <w:t xml:space="preserve">Its optimal growth temperature is around 50°C and </w:t>
      </w:r>
      <w:r w:rsidR="00C0277B">
        <w:rPr>
          <w:rFonts w:cs="Arial"/>
        </w:rPr>
        <w:t xml:space="preserve">it </w:t>
      </w:r>
      <w:r w:rsidRPr="001D53EE">
        <w:rPr>
          <w:rFonts w:cs="Arial"/>
        </w:rPr>
        <w:t xml:space="preserve">can survive at much higher temperatures. </w:t>
      </w:r>
      <w:r w:rsidRPr="001D53EE">
        <w:rPr>
          <w:rFonts w:cs="Arial"/>
          <w:i/>
        </w:rPr>
        <w:t>B. licheniformis</w:t>
      </w:r>
      <w:r w:rsidRPr="001D53EE">
        <w:rPr>
          <w:rFonts w:cs="Arial"/>
        </w:rPr>
        <w:t xml:space="preserve"> is classified under the genus of </w:t>
      </w:r>
      <w:r w:rsidRPr="001D53EE">
        <w:rPr>
          <w:rFonts w:cs="Arial"/>
          <w:i/>
        </w:rPr>
        <w:t>Bacillus</w:t>
      </w:r>
      <w:r w:rsidRPr="001D53EE">
        <w:rPr>
          <w:rFonts w:cs="Arial"/>
        </w:rPr>
        <w:t xml:space="preserve"> within the family of </w:t>
      </w:r>
      <w:r w:rsidRPr="001D53EE">
        <w:rPr>
          <w:rFonts w:cs="Arial"/>
          <w:i/>
        </w:rPr>
        <w:t>Bacillaceae</w:t>
      </w:r>
      <w:r w:rsidRPr="001D53EE">
        <w:rPr>
          <w:rFonts w:cs="Arial"/>
        </w:rPr>
        <w:t xml:space="preserve"> in the order of </w:t>
      </w:r>
      <w:r w:rsidRPr="001D53EE">
        <w:rPr>
          <w:rFonts w:cs="Arial"/>
          <w:i/>
        </w:rPr>
        <w:t>Bacillales</w:t>
      </w:r>
      <w:r w:rsidRPr="001D53EE">
        <w:rPr>
          <w:rFonts w:cs="Arial"/>
        </w:rPr>
        <w:t xml:space="preserve"> of the class of </w:t>
      </w:r>
      <w:r w:rsidRPr="001D53EE">
        <w:rPr>
          <w:rFonts w:cs="Arial"/>
          <w:i/>
        </w:rPr>
        <w:t>Bacilli</w:t>
      </w:r>
      <w:r w:rsidRPr="001D53EE">
        <w:rPr>
          <w:rFonts w:cs="Arial"/>
        </w:rPr>
        <w:t xml:space="preserve"> within phylum XIII of </w:t>
      </w:r>
      <w:r w:rsidRPr="001D53EE">
        <w:rPr>
          <w:rFonts w:cs="Arial"/>
          <w:i/>
        </w:rPr>
        <w:t>Firmicutes</w:t>
      </w:r>
      <w:r w:rsidRPr="001D53EE">
        <w:rPr>
          <w:rFonts w:cs="Arial"/>
        </w:rPr>
        <w:t xml:space="preserve"> (Whitman 2009). </w:t>
      </w:r>
    </w:p>
    <w:p w14:paraId="55138BB5" w14:textId="77777777" w:rsidR="00396395" w:rsidRPr="001D53EE" w:rsidRDefault="00396395" w:rsidP="00396395">
      <w:pPr>
        <w:rPr>
          <w:rFonts w:cs="Arial"/>
        </w:rPr>
      </w:pPr>
    </w:p>
    <w:p w14:paraId="282E0300" w14:textId="77777777" w:rsidR="00C0277B" w:rsidRDefault="00396395" w:rsidP="00396395">
      <w:pPr>
        <w:rPr>
          <w:rFonts w:cs="Arial"/>
        </w:rPr>
      </w:pPr>
      <w:r w:rsidRPr="001D53EE">
        <w:rPr>
          <w:rFonts w:cs="Arial"/>
          <w:i/>
        </w:rPr>
        <w:t>B. licheniformis</w:t>
      </w:r>
      <w:r w:rsidRPr="001D53EE">
        <w:rPr>
          <w:rFonts w:cs="Arial"/>
        </w:rPr>
        <w:t xml:space="preserve"> </w:t>
      </w:r>
      <w:r w:rsidR="0028007F">
        <w:rPr>
          <w:rFonts w:cs="Arial"/>
        </w:rPr>
        <w:t xml:space="preserve">isolates </w:t>
      </w:r>
      <w:r w:rsidRPr="001D53EE">
        <w:rPr>
          <w:rFonts w:cs="Arial"/>
        </w:rPr>
        <w:t>ha</w:t>
      </w:r>
      <w:r>
        <w:rPr>
          <w:rFonts w:cs="Arial"/>
        </w:rPr>
        <w:t>ve</w:t>
      </w:r>
      <w:r w:rsidRPr="001D53EE">
        <w:rPr>
          <w:rFonts w:cs="Arial"/>
        </w:rPr>
        <w:t xml:space="preserve"> been identified as the cause of foodborne illness associated with cooked meats, ice cream, cheese, raw milk, infant feed, prawns (Salkinoja-Salonen et al. 1999). </w:t>
      </w:r>
      <w:r w:rsidR="0028007F">
        <w:rPr>
          <w:rFonts w:cs="Arial"/>
        </w:rPr>
        <w:t xml:space="preserve">However, </w:t>
      </w:r>
      <w:r w:rsidR="0057773D" w:rsidRPr="0057773D">
        <w:rPr>
          <w:rFonts w:cs="Arial"/>
        </w:rPr>
        <w:t>the incidence of human infections and pathogenicity is rare an</w:t>
      </w:r>
      <w:r w:rsidR="0057773D">
        <w:rPr>
          <w:rFonts w:cs="Arial"/>
        </w:rPr>
        <w:t>d tends to be limited to immune-</w:t>
      </w:r>
      <w:r w:rsidR="0057773D" w:rsidRPr="0057773D">
        <w:rPr>
          <w:rFonts w:cs="Arial"/>
        </w:rPr>
        <w:t>compromised individuals (Haydushka et al, 2012; Logan, 2012).</w:t>
      </w:r>
    </w:p>
    <w:p w14:paraId="03F1415C" w14:textId="77777777" w:rsidR="00C0277B" w:rsidRDefault="00C0277B" w:rsidP="00396395">
      <w:pPr>
        <w:rPr>
          <w:rFonts w:cs="Arial"/>
        </w:rPr>
      </w:pPr>
    </w:p>
    <w:p w14:paraId="5710AC17" w14:textId="00FBE0A3" w:rsidR="00396395" w:rsidRPr="001D53EE" w:rsidRDefault="00C0277B" w:rsidP="00396395">
      <w:pPr>
        <w:rPr>
          <w:rFonts w:cs="Arial"/>
        </w:rPr>
      </w:pPr>
      <w:r>
        <w:rPr>
          <w:rFonts w:cs="Arial"/>
        </w:rPr>
        <w:t>I</w:t>
      </w:r>
      <w:r w:rsidR="00396395" w:rsidRPr="001D53EE">
        <w:rPr>
          <w:rFonts w:cs="Arial"/>
        </w:rPr>
        <w:t xml:space="preserve">ndustry strains of </w:t>
      </w:r>
      <w:r w:rsidR="00396395" w:rsidRPr="001D53EE">
        <w:rPr>
          <w:rFonts w:cs="Arial"/>
          <w:i/>
        </w:rPr>
        <w:t>B. licheniformis</w:t>
      </w:r>
      <w:r w:rsidR="00396395" w:rsidRPr="001D53EE">
        <w:rPr>
          <w:rFonts w:cs="Arial"/>
        </w:rPr>
        <w:t xml:space="preserve"> have been generally considered as non-pathogenic due to the absence of invasive traits (Muras et al., 2021). Industry strains of </w:t>
      </w:r>
      <w:r w:rsidR="00396395" w:rsidRPr="007E19C7">
        <w:rPr>
          <w:rFonts w:cs="Arial"/>
          <w:i/>
        </w:rPr>
        <w:t>B. licheniformis</w:t>
      </w:r>
      <w:r w:rsidR="00396395" w:rsidRPr="001D53EE">
        <w:rPr>
          <w:rFonts w:cs="Arial"/>
        </w:rPr>
        <w:t xml:space="preserve"> have been regarded as safe as </w:t>
      </w:r>
      <w:r w:rsidR="00396395">
        <w:rPr>
          <w:rFonts w:cs="Arial"/>
        </w:rPr>
        <w:t xml:space="preserve">a </w:t>
      </w:r>
      <w:r w:rsidR="00396395" w:rsidRPr="001D53EE">
        <w:rPr>
          <w:rFonts w:cs="Arial"/>
        </w:rPr>
        <w:t xml:space="preserve">biological agent by </w:t>
      </w:r>
      <w:r w:rsidR="00396395">
        <w:rPr>
          <w:rFonts w:cs="Arial"/>
        </w:rPr>
        <w:t xml:space="preserve">the </w:t>
      </w:r>
      <w:r w:rsidR="00396395" w:rsidRPr="001D53EE">
        <w:rPr>
          <w:rFonts w:cs="Arial"/>
        </w:rPr>
        <w:t xml:space="preserve">US Environmental Protection Agency (2017) and the European Food Safety Authority (2010) provided </w:t>
      </w:r>
      <w:r w:rsidR="00396395">
        <w:rPr>
          <w:rFonts w:cs="Arial"/>
        </w:rPr>
        <w:t xml:space="preserve">that </w:t>
      </w:r>
      <w:r w:rsidR="00396395" w:rsidRPr="001D53EE">
        <w:rPr>
          <w:rFonts w:cs="Arial"/>
        </w:rPr>
        <w:t>they do not produce toxins and do not harbour any acquired antimicrobial resistance genes to clinically relevant antibiotic</w:t>
      </w:r>
      <w:r w:rsidR="00396395">
        <w:rPr>
          <w:rFonts w:cs="Arial"/>
        </w:rPr>
        <w:t>s</w:t>
      </w:r>
      <w:r w:rsidR="00396395" w:rsidRPr="001D53EE">
        <w:rPr>
          <w:rFonts w:cs="Arial"/>
        </w:rPr>
        <w:t xml:space="preserve">. Industry strains of </w:t>
      </w:r>
      <w:r w:rsidR="00396395" w:rsidRPr="001D53EE">
        <w:rPr>
          <w:rFonts w:cs="Arial"/>
          <w:i/>
        </w:rPr>
        <w:t>B. licheniformis</w:t>
      </w:r>
      <w:r w:rsidR="00396395" w:rsidRPr="001D53EE">
        <w:rPr>
          <w:rFonts w:cs="Arial"/>
        </w:rPr>
        <w:t xml:space="preserve"> have been safely used to produce industrial enzymes as processing aids since 1972 (</w:t>
      </w:r>
      <w:r w:rsidR="00396395" w:rsidRPr="001D53EE">
        <w:rPr>
          <w:rFonts w:cs="Arial"/>
          <w:lang w:eastAsia="en-AU"/>
        </w:rPr>
        <w:t xml:space="preserve">de Bore et al., 1994; </w:t>
      </w:r>
      <w:r w:rsidR="00396395" w:rsidRPr="001D53EE">
        <w:rPr>
          <w:rFonts w:cs="Arial"/>
        </w:rPr>
        <w:t xml:space="preserve">Sewalt et al., 2018; </w:t>
      </w:r>
      <w:r w:rsidR="00396395" w:rsidRPr="001D53EE">
        <w:rPr>
          <w:rFonts w:cs="Arial"/>
          <w:lang w:eastAsia="en-AU"/>
        </w:rPr>
        <w:t xml:space="preserve">Muras et al., 2021). </w:t>
      </w:r>
      <w:r w:rsidR="002D1249">
        <w:t xml:space="preserve">Using the safe strain concept, the information provided by the applicant </w:t>
      </w:r>
      <w:r w:rsidR="00C066FD">
        <w:t xml:space="preserve">(CCI) </w:t>
      </w:r>
      <w:r w:rsidR="002D1249">
        <w:t>showed that the risk of toxin production by the production strain was very low.</w:t>
      </w:r>
    </w:p>
    <w:p w14:paraId="35A6C7F8" w14:textId="77777777" w:rsidR="00396395" w:rsidRPr="001D53EE" w:rsidRDefault="00396395" w:rsidP="00396395">
      <w:pPr>
        <w:rPr>
          <w:rFonts w:cs="Arial"/>
          <w:lang w:eastAsia="en-AU"/>
        </w:rPr>
      </w:pPr>
    </w:p>
    <w:p w14:paraId="5A525839" w14:textId="0142442B" w:rsidR="00396395" w:rsidRPr="001D53EE" w:rsidRDefault="00396395" w:rsidP="00396395">
      <w:pPr>
        <w:rPr>
          <w:rFonts w:cs="Arial"/>
        </w:rPr>
      </w:pPr>
      <w:r w:rsidRPr="001D53EE">
        <w:rPr>
          <w:rFonts w:cs="Arial"/>
          <w:lang w:eastAsia="en-AU"/>
        </w:rPr>
        <w:t xml:space="preserve">FSANZ has previously assessed the safety of enzymes as processing aids produced by </w:t>
      </w:r>
      <w:r w:rsidRPr="001D53EE">
        <w:rPr>
          <w:rFonts w:cs="Arial"/>
          <w:i/>
          <w:lang w:eastAsia="en-AU"/>
        </w:rPr>
        <w:t>B. licheniformis</w:t>
      </w:r>
      <w:r w:rsidRPr="001D53EE">
        <w:rPr>
          <w:rFonts w:cs="Arial"/>
          <w:lang w:eastAsia="en-AU"/>
        </w:rPr>
        <w:t xml:space="preserve">. Schedule 18 of Standard 1.3.3 of the Code permits the use of the following </w:t>
      </w:r>
      <w:r w:rsidRPr="001D53EE">
        <w:rPr>
          <w:rFonts w:cs="Arial"/>
          <w:lang w:eastAsia="en-AU"/>
        </w:rPr>
        <w:lastRenderedPageBreak/>
        <w:t xml:space="preserve">enzymes produced by </w:t>
      </w:r>
      <w:r w:rsidRPr="001D53EE">
        <w:rPr>
          <w:rFonts w:cs="Arial"/>
          <w:i/>
          <w:lang w:eastAsia="en-AU"/>
        </w:rPr>
        <w:t>B. licheniformis</w:t>
      </w:r>
      <w:r w:rsidRPr="001D53EE">
        <w:rPr>
          <w:rFonts w:cs="Arial"/>
          <w:lang w:eastAsia="en-AU"/>
        </w:rPr>
        <w:t xml:space="preserve">: </w:t>
      </w:r>
      <w:r w:rsidR="00145C32">
        <w:rPr>
          <w:rFonts w:cs="Arial"/>
          <w:lang w:eastAsia="en-AU"/>
        </w:rPr>
        <w:t>alpha</w:t>
      </w:r>
      <w:r w:rsidRPr="001D53EE">
        <w:rPr>
          <w:rFonts w:cs="Arial"/>
          <w:lang w:eastAsia="en-AU"/>
        </w:rPr>
        <w:t>-amylase, chymotrypsin, endo-1,4-</w:t>
      </w:r>
      <w:r w:rsidR="0058211A">
        <w:rPr>
          <w:rFonts w:cs="Arial"/>
          <w:lang w:eastAsia="en-AU"/>
        </w:rPr>
        <w:t>beta</w:t>
      </w:r>
      <w:r w:rsidRPr="001D53EE">
        <w:rPr>
          <w:rFonts w:cs="Arial"/>
          <w:lang w:eastAsia="en-AU"/>
        </w:rPr>
        <w:t xml:space="preserve">-xylanase, </w:t>
      </w:r>
      <w:r w:rsidR="00145C32">
        <w:rPr>
          <w:rFonts w:cs="Arial"/>
          <w:lang w:eastAsia="en-AU"/>
        </w:rPr>
        <w:t>beta</w:t>
      </w:r>
      <w:r w:rsidRPr="001D53EE">
        <w:rPr>
          <w:rFonts w:cs="Arial"/>
          <w:lang w:eastAsia="en-AU"/>
        </w:rPr>
        <w:t>-galactosidase, glycerophospholipid cholesterol acyltransferase, maltotetraohydrolase, pullulanase, and serine proteinase.</w:t>
      </w:r>
    </w:p>
    <w:p w14:paraId="240F6876" w14:textId="77777777" w:rsidR="00396395" w:rsidRPr="001D53EE" w:rsidRDefault="00396395" w:rsidP="00396395">
      <w:pPr>
        <w:rPr>
          <w:rFonts w:cs="Arial"/>
        </w:rPr>
      </w:pPr>
    </w:p>
    <w:p w14:paraId="7E2743F7" w14:textId="6801C0EA" w:rsidR="00396395" w:rsidRPr="001D53EE" w:rsidRDefault="00396395" w:rsidP="00396395">
      <w:pPr>
        <w:rPr>
          <w:rFonts w:cs="Arial"/>
        </w:rPr>
      </w:pPr>
      <w:r w:rsidRPr="001D53EE">
        <w:rPr>
          <w:rFonts w:cs="Arial"/>
        </w:rPr>
        <w:t xml:space="preserve">The </w:t>
      </w:r>
      <w:r w:rsidR="0028007F">
        <w:rPr>
          <w:rFonts w:cs="Arial"/>
        </w:rPr>
        <w:t>production</w:t>
      </w:r>
      <w:r w:rsidR="0028007F" w:rsidRPr="001D53EE">
        <w:rPr>
          <w:rFonts w:cs="Arial"/>
        </w:rPr>
        <w:t xml:space="preserve"> </w:t>
      </w:r>
      <w:r w:rsidRPr="001D53EE">
        <w:rPr>
          <w:rFonts w:cs="Arial"/>
        </w:rPr>
        <w:t xml:space="preserve">strain referred </w:t>
      </w:r>
      <w:r w:rsidR="0028007F">
        <w:rPr>
          <w:rFonts w:cs="Arial"/>
        </w:rPr>
        <w:t xml:space="preserve">to </w:t>
      </w:r>
      <w:r w:rsidRPr="001D53EE">
        <w:rPr>
          <w:rFonts w:cs="Arial"/>
        </w:rPr>
        <w:t xml:space="preserve">in this application, </w:t>
      </w:r>
      <w:r w:rsidRPr="001D53EE">
        <w:rPr>
          <w:rFonts w:cs="Arial"/>
          <w:i/>
        </w:rPr>
        <w:t>B. licheniformis</w:t>
      </w:r>
      <w:r w:rsidRPr="001D53EE">
        <w:rPr>
          <w:rFonts w:cs="Arial"/>
        </w:rPr>
        <w:t xml:space="preserve"> strain JML1584, was derived from proprietary strain </w:t>
      </w:r>
      <w:r w:rsidRPr="001D53EE">
        <w:rPr>
          <w:rFonts w:cs="Arial"/>
          <w:i/>
        </w:rPr>
        <w:t>B. licheniformis</w:t>
      </w:r>
      <w:r w:rsidRPr="001D53EE">
        <w:rPr>
          <w:rFonts w:cs="Arial"/>
        </w:rPr>
        <w:t xml:space="preserve"> Bra7 by incorporating a synthetic </w:t>
      </w:r>
      <w:r w:rsidR="00145C32">
        <w:rPr>
          <w:rFonts w:cs="Arial"/>
        </w:rPr>
        <w:t>alpha</w:t>
      </w:r>
      <w:r w:rsidRPr="001D53EE">
        <w:rPr>
          <w:rFonts w:cs="Arial"/>
        </w:rPr>
        <w:t xml:space="preserve">-amylase variant gene based on the sequence of </w:t>
      </w:r>
      <w:r>
        <w:rPr>
          <w:rFonts w:cs="Arial"/>
        </w:rPr>
        <w:t xml:space="preserve">the </w:t>
      </w:r>
      <w:r w:rsidR="00145C32">
        <w:rPr>
          <w:rFonts w:cs="Arial"/>
        </w:rPr>
        <w:t>alpha</w:t>
      </w:r>
      <w:r w:rsidRPr="001D53EE">
        <w:rPr>
          <w:rFonts w:cs="Arial"/>
        </w:rPr>
        <w:t xml:space="preserve">-amylase gene of an isolate of </w:t>
      </w:r>
      <w:r w:rsidRPr="001D53EE">
        <w:rPr>
          <w:rFonts w:cs="Arial"/>
          <w:i/>
        </w:rPr>
        <w:t>Cytophaga</w:t>
      </w:r>
      <w:r w:rsidRPr="001D53EE">
        <w:rPr>
          <w:rFonts w:cs="Arial"/>
        </w:rPr>
        <w:t xml:space="preserve"> </w:t>
      </w:r>
      <w:r>
        <w:rPr>
          <w:rFonts w:cs="Arial"/>
        </w:rPr>
        <w:t>sp</w:t>
      </w:r>
      <w:r w:rsidRPr="001D53EE">
        <w:rPr>
          <w:rFonts w:cs="Arial"/>
        </w:rPr>
        <w:t xml:space="preserve">. </w:t>
      </w:r>
    </w:p>
    <w:p w14:paraId="43675769" w14:textId="77777777" w:rsidR="00396395" w:rsidRPr="001D53EE" w:rsidRDefault="00396395" w:rsidP="00396395">
      <w:pPr>
        <w:rPr>
          <w:rFonts w:cs="Arial"/>
        </w:rPr>
      </w:pPr>
    </w:p>
    <w:p w14:paraId="6E913A92" w14:textId="731DD5B6" w:rsidR="00396395" w:rsidRPr="001D53EE" w:rsidRDefault="00396395" w:rsidP="00396395">
      <w:pPr>
        <w:rPr>
          <w:rFonts w:cs="Arial"/>
        </w:rPr>
      </w:pPr>
      <w:r w:rsidRPr="001D53EE">
        <w:rPr>
          <w:rFonts w:cs="Arial"/>
          <w:i/>
        </w:rPr>
        <w:t>B. licheniformis</w:t>
      </w:r>
      <w:r w:rsidRPr="001D53EE">
        <w:rPr>
          <w:rFonts w:cs="Arial"/>
        </w:rPr>
        <w:t xml:space="preserve"> Bra7 is an industrial strain used for </w:t>
      </w:r>
      <w:r w:rsidR="00FE6EA8">
        <w:rPr>
          <w:rFonts w:cs="Arial"/>
        </w:rPr>
        <w:t>alpha</w:t>
      </w:r>
      <w:r w:rsidRPr="001D53EE">
        <w:rPr>
          <w:rFonts w:cs="Arial"/>
        </w:rPr>
        <w:t>-amylase production by the applicant since 1989</w:t>
      </w:r>
      <w:r>
        <w:rPr>
          <w:rFonts w:cs="Arial"/>
        </w:rPr>
        <w:t xml:space="preserve">. </w:t>
      </w:r>
      <w:r w:rsidRPr="001D53EE">
        <w:rPr>
          <w:rFonts w:cs="Arial"/>
        </w:rPr>
        <w:t xml:space="preserve">FSANZ has accepted a number of enzymes produced by </w:t>
      </w:r>
      <w:r w:rsidRPr="001D53EE">
        <w:rPr>
          <w:rFonts w:cs="Arial"/>
          <w:i/>
          <w:iCs/>
        </w:rPr>
        <w:t xml:space="preserve">B. licheniformis </w:t>
      </w:r>
      <w:r w:rsidRPr="00E46B3B">
        <w:rPr>
          <w:rFonts w:cs="Arial"/>
          <w:iCs/>
        </w:rPr>
        <w:t xml:space="preserve">Bra7 </w:t>
      </w:r>
      <w:r w:rsidRPr="001D53EE">
        <w:rPr>
          <w:rFonts w:cs="Arial"/>
        </w:rPr>
        <w:t>as processing aids in the past</w:t>
      </w:r>
      <w:r>
        <w:rPr>
          <w:rFonts w:cs="Arial"/>
        </w:rPr>
        <w:t xml:space="preserve">, such as </w:t>
      </w:r>
      <w:r w:rsidRPr="007E743D">
        <w:rPr>
          <w:rFonts w:cs="Arial"/>
        </w:rPr>
        <w:t>m</w:t>
      </w:r>
      <w:r>
        <w:rPr>
          <w:rFonts w:cs="Arial"/>
        </w:rPr>
        <w:t xml:space="preserve">altogenic </w:t>
      </w:r>
      <w:r w:rsidR="00145C32">
        <w:rPr>
          <w:rFonts w:cs="Arial"/>
        </w:rPr>
        <w:t>alpha</w:t>
      </w:r>
      <w:r>
        <w:rPr>
          <w:rFonts w:cs="Arial"/>
        </w:rPr>
        <w:t xml:space="preserve">-amylase from GM </w:t>
      </w:r>
      <w:r w:rsidRPr="0099524C">
        <w:rPr>
          <w:rFonts w:cs="Arial"/>
          <w:i/>
        </w:rPr>
        <w:t>B. licheniformis</w:t>
      </w:r>
      <w:r>
        <w:rPr>
          <w:rFonts w:cs="Arial"/>
        </w:rPr>
        <w:t xml:space="preserve"> (</w:t>
      </w:r>
      <w:hyperlink r:id="rId17" w:history="1">
        <w:r w:rsidRPr="00E46B3B">
          <w:rPr>
            <w:rStyle w:val="Hyperlink"/>
            <w:rFonts w:cs="Arial"/>
          </w:rPr>
          <w:t>2021</w:t>
        </w:r>
      </w:hyperlink>
      <w:r>
        <w:rPr>
          <w:rFonts w:cs="Arial"/>
        </w:rPr>
        <w:t>); p</w:t>
      </w:r>
      <w:r w:rsidRPr="007E743D">
        <w:rPr>
          <w:rFonts w:cs="Arial"/>
        </w:rPr>
        <w:t xml:space="preserve">ullulanase from </w:t>
      </w:r>
      <w:r w:rsidRPr="007E743D">
        <w:rPr>
          <w:rFonts w:cs="Arial"/>
          <w:i/>
        </w:rPr>
        <w:t>B. licheniformis</w:t>
      </w:r>
      <w:r>
        <w:rPr>
          <w:rFonts w:cs="Arial"/>
        </w:rPr>
        <w:t xml:space="preserve"> (</w:t>
      </w:r>
      <w:hyperlink r:id="rId18" w:history="1">
        <w:r w:rsidRPr="00E46B3B">
          <w:rPr>
            <w:rStyle w:val="Hyperlink"/>
            <w:rFonts w:cs="Arial"/>
          </w:rPr>
          <w:t>2019</w:t>
        </w:r>
      </w:hyperlink>
      <w:r>
        <w:rPr>
          <w:rFonts w:cs="Arial"/>
        </w:rPr>
        <w:t>); and a</w:t>
      </w:r>
      <w:r w:rsidRPr="0099524C">
        <w:rPr>
          <w:rFonts w:cs="Arial"/>
        </w:rPr>
        <w:t>cyltransferase</w:t>
      </w:r>
      <w:r>
        <w:rPr>
          <w:rFonts w:cs="Arial"/>
        </w:rPr>
        <w:t xml:space="preserve"> from </w:t>
      </w:r>
      <w:r w:rsidRPr="0099524C">
        <w:rPr>
          <w:rFonts w:cs="Arial"/>
          <w:i/>
        </w:rPr>
        <w:t>B. licheniformis</w:t>
      </w:r>
      <w:r>
        <w:rPr>
          <w:rFonts w:cs="Arial"/>
        </w:rPr>
        <w:t xml:space="preserve"> (</w:t>
      </w:r>
      <w:hyperlink r:id="rId19" w:history="1">
        <w:r w:rsidRPr="00E46B3B">
          <w:rPr>
            <w:rStyle w:val="Hyperlink"/>
            <w:rFonts w:cs="Arial"/>
          </w:rPr>
          <w:t>2011</w:t>
        </w:r>
      </w:hyperlink>
      <w:r>
        <w:rPr>
          <w:rFonts w:cs="Arial"/>
        </w:rPr>
        <w:t xml:space="preserve">). FDA has approved a number of enzymes produced by </w:t>
      </w:r>
      <w:r w:rsidRPr="00E46B3B">
        <w:rPr>
          <w:rFonts w:cs="Arial"/>
          <w:i/>
        </w:rPr>
        <w:t>B. licheniformis</w:t>
      </w:r>
      <w:r>
        <w:rPr>
          <w:rFonts w:cs="Arial"/>
        </w:rPr>
        <w:t xml:space="preserve"> Bra7 for GRAS status, such as</w:t>
      </w:r>
      <w:r w:rsidRPr="00E46B3B">
        <w:rPr>
          <w:rFonts w:cs="Arial"/>
        </w:rPr>
        <w:t xml:space="preserve"> </w:t>
      </w:r>
      <w:r w:rsidR="00145C32">
        <w:rPr>
          <w:rFonts w:cs="Arial"/>
        </w:rPr>
        <w:t>alpha</w:t>
      </w:r>
      <w:r w:rsidRPr="00E46B3B">
        <w:rPr>
          <w:rFonts w:cs="Arial"/>
        </w:rPr>
        <w:t xml:space="preserve">-amylase </w:t>
      </w:r>
      <w:r w:rsidRPr="00E46B3B">
        <w:rPr>
          <w:rFonts w:cs="Arial"/>
          <w:i/>
        </w:rPr>
        <w:t>B. licheniformis</w:t>
      </w:r>
      <w:r w:rsidRPr="00E46B3B">
        <w:rPr>
          <w:rFonts w:cs="Arial"/>
        </w:rPr>
        <w:t xml:space="preserve"> carrying an </w:t>
      </w:r>
      <w:r w:rsidR="00145C32">
        <w:rPr>
          <w:rFonts w:cs="Arial"/>
        </w:rPr>
        <w:t>alpha</w:t>
      </w:r>
      <w:r w:rsidRPr="00E46B3B">
        <w:rPr>
          <w:rFonts w:cs="Arial"/>
        </w:rPr>
        <w:t xml:space="preserve">-amylase gene from </w:t>
      </w:r>
      <w:r w:rsidRPr="00E46B3B">
        <w:rPr>
          <w:rFonts w:cs="Arial"/>
          <w:i/>
        </w:rPr>
        <w:t>Geobacillus stearothermophilus</w:t>
      </w:r>
      <w:r w:rsidRPr="00E46B3B">
        <w:rPr>
          <w:rFonts w:cs="Arial"/>
        </w:rPr>
        <w:t xml:space="preserve"> </w:t>
      </w:r>
      <w:r>
        <w:rPr>
          <w:rFonts w:cs="Arial"/>
        </w:rPr>
        <w:t>(</w:t>
      </w:r>
      <w:hyperlink r:id="rId20" w:anchor=":~:text=FDA%20received%20the%20notice%20on%20August%203%2C%202015%2C,licheniformis%20carrying%20an%20alpha-amylase%20gene%20from%20Geobacillus%20stearothermophilus." w:history="1">
        <w:r w:rsidRPr="00E46B3B">
          <w:rPr>
            <w:rStyle w:val="Hyperlink"/>
            <w:rFonts w:cs="Arial"/>
          </w:rPr>
          <w:t>2015</w:t>
        </w:r>
      </w:hyperlink>
      <w:r>
        <w:rPr>
          <w:rFonts w:cs="Arial"/>
        </w:rPr>
        <w:t xml:space="preserve">); </w:t>
      </w:r>
      <w:r w:rsidR="00145C32">
        <w:rPr>
          <w:rFonts w:cs="Arial"/>
        </w:rPr>
        <w:t>alpha</w:t>
      </w:r>
      <w:r w:rsidRPr="00E46B3B">
        <w:rPr>
          <w:rFonts w:cs="Arial"/>
        </w:rPr>
        <w:t xml:space="preserve">-amylase enzyme preparation produced by </w:t>
      </w:r>
      <w:r w:rsidRPr="00BE3D8C">
        <w:rPr>
          <w:rFonts w:cs="Arial"/>
          <w:i/>
        </w:rPr>
        <w:t>B. licheniformis</w:t>
      </w:r>
      <w:r w:rsidRPr="00E46B3B">
        <w:rPr>
          <w:rFonts w:cs="Arial"/>
        </w:rPr>
        <w:t xml:space="preserve"> carrying a modified </w:t>
      </w:r>
      <w:r w:rsidR="00145C32">
        <w:rPr>
          <w:rFonts w:cs="Arial"/>
        </w:rPr>
        <w:t>alpha</w:t>
      </w:r>
      <w:r>
        <w:rPr>
          <w:rFonts w:cs="Arial"/>
        </w:rPr>
        <w:t>-</w:t>
      </w:r>
      <w:r w:rsidRPr="00E46B3B">
        <w:rPr>
          <w:rFonts w:cs="Arial"/>
        </w:rPr>
        <w:t xml:space="preserve">amylase gene from </w:t>
      </w:r>
      <w:r w:rsidRPr="00E46B3B">
        <w:rPr>
          <w:rFonts w:cs="Arial"/>
          <w:i/>
        </w:rPr>
        <w:t>Cytophaga</w:t>
      </w:r>
      <w:r w:rsidRPr="00E46B3B">
        <w:rPr>
          <w:rFonts w:cs="Arial"/>
        </w:rPr>
        <w:t xml:space="preserve"> sp.</w:t>
      </w:r>
      <w:r>
        <w:rPr>
          <w:rFonts w:cs="Arial"/>
        </w:rPr>
        <w:t xml:space="preserve"> (</w:t>
      </w:r>
      <w:hyperlink r:id="rId21" w:history="1">
        <w:r w:rsidRPr="00E46B3B">
          <w:rPr>
            <w:rStyle w:val="Hyperlink"/>
            <w:rFonts w:cs="Arial"/>
          </w:rPr>
          <w:t>2016</w:t>
        </w:r>
      </w:hyperlink>
      <w:r>
        <w:rPr>
          <w:rFonts w:cs="Arial"/>
        </w:rPr>
        <w:t>)</w:t>
      </w:r>
      <w:r w:rsidRPr="001D53EE">
        <w:rPr>
          <w:rFonts w:cs="Arial"/>
        </w:rPr>
        <w:t>.</w:t>
      </w:r>
    </w:p>
    <w:p w14:paraId="40001B29" w14:textId="77777777" w:rsidR="00120638" w:rsidRPr="00A92B6C" w:rsidRDefault="00120638" w:rsidP="00120638">
      <w:pPr>
        <w:pStyle w:val="Heading3"/>
      </w:pPr>
      <w:r w:rsidRPr="00A92B6C">
        <w:t>3.1.2</w:t>
      </w:r>
      <w:r w:rsidRPr="00A92B6C">
        <w:tab/>
        <w:t xml:space="preserve">Gene donor organism(s) </w:t>
      </w:r>
    </w:p>
    <w:p w14:paraId="723700E3" w14:textId="49BAB123" w:rsidR="00396395" w:rsidRPr="001D53EE" w:rsidRDefault="002A5290" w:rsidP="00396395">
      <w:pPr>
        <w:rPr>
          <w:rFonts w:cs="Arial"/>
        </w:rPr>
      </w:pPr>
      <w:r>
        <w:rPr>
          <w:rFonts w:cs="Arial"/>
        </w:rPr>
        <w:t xml:space="preserve">The gene donor, </w:t>
      </w:r>
      <w:r w:rsidR="00396395" w:rsidRPr="001D53EE">
        <w:rPr>
          <w:rFonts w:cs="Arial"/>
          <w:i/>
        </w:rPr>
        <w:t>Cytophaga</w:t>
      </w:r>
      <w:r w:rsidR="00396395" w:rsidRPr="001D53EE">
        <w:rPr>
          <w:rFonts w:cs="Arial"/>
        </w:rPr>
        <w:t xml:space="preserve"> sp.</w:t>
      </w:r>
      <w:r>
        <w:rPr>
          <w:rFonts w:cs="Arial"/>
        </w:rPr>
        <w:t>,</w:t>
      </w:r>
      <w:r w:rsidR="00396395" w:rsidRPr="001D53EE">
        <w:rPr>
          <w:rFonts w:cs="Arial"/>
        </w:rPr>
        <w:t xml:space="preserve"> </w:t>
      </w:r>
      <w:r w:rsidR="00396395">
        <w:rPr>
          <w:rFonts w:cs="Arial"/>
        </w:rPr>
        <w:t>was isolated by plating suspensions of soil and starch sample</w:t>
      </w:r>
      <w:r w:rsidR="00EC0AF8">
        <w:rPr>
          <w:rFonts w:cs="Arial"/>
        </w:rPr>
        <w:t>s</w:t>
      </w:r>
      <w:r w:rsidR="00396395">
        <w:rPr>
          <w:rFonts w:cs="Arial"/>
        </w:rPr>
        <w:t xml:space="preserve"> onto a media containing raw corn starch as the main carbon source </w:t>
      </w:r>
      <w:r>
        <w:rPr>
          <w:rFonts w:cs="Arial"/>
        </w:rPr>
        <w:t>(</w:t>
      </w:r>
      <w:r w:rsidR="00396395">
        <w:rPr>
          <w:rFonts w:cs="Arial"/>
        </w:rPr>
        <w:t>Jean</w:t>
      </w:r>
      <w:r w:rsidR="00EC0AF8">
        <w:rPr>
          <w:rFonts w:cs="Arial"/>
        </w:rPr>
        <w:t>g</w:t>
      </w:r>
      <w:r w:rsidR="00396395">
        <w:rPr>
          <w:rFonts w:cs="Arial"/>
        </w:rPr>
        <w:t xml:space="preserve"> et al., 1995)</w:t>
      </w:r>
      <w:r>
        <w:rPr>
          <w:rFonts w:cs="Arial"/>
        </w:rPr>
        <w:t>.</w:t>
      </w:r>
      <w:r w:rsidR="00396395">
        <w:rPr>
          <w:rFonts w:cs="Arial"/>
        </w:rPr>
        <w:t xml:space="preserve"> </w:t>
      </w:r>
      <w:r w:rsidR="00396395" w:rsidRPr="001D53EE">
        <w:rPr>
          <w:rFonts w:cs="Arial"/>
          <w:bCs/>
          <w:i/>
          <w:iCs/>
        </w:rPr>
        <w:t>Cytophaga</w:t>
      </w:r>
      <w:r w:rsidR="00396395" w:rsidRPr="001D53EE">
        <w:rPr>
          <w:rFonts w:cs="Arial"/>
        </w:rPr>
        <w:t> sp. is a gram-negative, unicellular, non-spore forming bacterium commonly found in soil and sediments of lakes and oceans</w:t>
      </w:r>
      <w:r w:rsidR="00C066FD">
        <w:rPr>
          <w:rFonts w:cs="Arial"/>
        </w:rPr>
        <w:t xml:space="preserve"> </w:t>
      </w:r>
      <w:r w:rsidR="00396395" w:rsidRPr="001D53EE">
        <w:rPr>
          <w:rFonts w:cs="Arial"/>
        </w:rPr>
        <w:t xml:space="preserve">and </w:t>
      </w:r>
      <w:r w:rsidR="009E5D76">
        <w:rPr>
          <w:rFonts w:cs="Arial"/>
        </w:rPr>
        <w:t>is</w:t>
      </w:r>
      <w:r w:rsidR="009E5D76" w:rsidRPr="001D53EE">
        <w:rPr>
          <w:rFonts w:cs="Arial"/>
        </w:rPr>
        <w:t xml:space="preserve"> </w:t>
      </w:r>
      <w:r w:rsidR="00396395" w:rsidRPr="001D53EE">
        <w:rPr>
          <w:rFonts w:cs="Arial"/>
        </w:rPr>
        <w:t>especially proficient in degrading various biopolymers such as cellulose, chitin, and pectin (Mayberger, 2011). Recent literature classif</w:t>
      </w:r>
      <w:r w:rsidR="00396395">
        <w:rPr>
          <w:rFonts w:cs="Arial"/>
        </w:rPr>
        <w:t>ied</w:t>
      </w:r>
      <w:r w:rsidR="00396395" w:rsidRPr="001D53EE">
        <w:rPr>
          <w:rFonts w:cs="Arial"/>
        </w:rPr>
        <w:t xml:space="preserve"> </w:t>
      </w:r>
      <w:r w:rsidR="00396395" w:rsidRPr="001D53EE">
        <w:rPr>
          <w:rFonts w:cs="Arial"/>
          <w:i/>
        </w:rPr>
        <w:t>Cytophaga</w:t>
      </w:r>
      <w:r w:rsidR="00396395" w:rsidRPr="001D53EE">
        <w:rPr>
          <w:rFonts w:cs="Arial"/>
        </w:rPr>
        <w:t xml:space="preserve"> as a genus in the family of </w:t>
      </w:r>
      <w:r w:rsidR="00396395" w:rsidRPr="001D53EE">
        <w:rPr>
          <w:rFonts w:cs="Arial"/>
          <w:i/>
        </w:rPr>
        <w:t>Cytophagaceae</w:t>
      </w:r>
      <w:r w:rsidR="00396395" w:rsidRPr="001D53EE">
        <w:rPr>
          <w:rFonts w:cs="Arial"/>
        </w:rPr>
        <w:t xml:space="preserve"> within the order of </w:t>
      </w:r>
      <w:r w:rsidR="00396395" w:rsidRPr="001D53EE">
        <w:rPr>
          <w:rFonts w:cs="Arial"/>
          <w:i/>
        </w:rPr>
        <w:t>Cytophgales</w:t>
      </w:r>
      <w:r w:rsidR="00396395" w:rsidRPr="001D53EE">
        <w:rPr>
          <w:rFonts w:cs="Arial"/>
        </w:rPr>
        <w:t xml:space="preserve"> under the class of </w:t>
      </w:r>
      <w:r w:rsidR="00396395" w:rsidRPr="001D53EE">
        <w:rPr>
          <w:rFonts w:cs="Arial"/>
          <w:i/>
        </w:rPr>
        <w:t>Cytophagia</w:t>
      </w:r>
      <w:r w:rsidR="00396395" w:rsidRPr="001D53EE">
        <w:rPr>
          <w:rFonts w:cs="Arial"/>
        </w:rPr>
        <w:t xml:space="preserve"> in the bacteria phylum of </w:t>
      </w:r>
      <w:r w:rsidR="00396395" w:rsidRPr="001D53EE">
        <w:rPr>
          <w:rFonts w:cs="Arial"/>
          <w:i/>
        </w:rPr>
        <w:t>Bacteroidota</w:t>
      </w:r>
      <w:r w:rsidR="00396395" w:rsidRPr="001D53EE">
        <w:rPr>
          <w:rFonts w:cs="Arial"/>
        </w:rPr>
        <w:t xml:space="preserve"> (Garcia-López et al., 2019). </w:t>
      </w:r>
      <w:r>
        <w:rPr>
          <w:rFonts w:cs="Arial"/>
        </w:rPr>
        <w:t xml:space="preserve">The gene donor is referred to as </w:t>
      </w:r>
      <w:r w:rsidRPr="001D53EE">
        <w:rPr>
          <w:rFonts w:cs="Arial"/>
          <w:bCs/>
          <w:i/>
          <w:iCs/>
        </w:rPr>
        <w:t>Cytophaga</w:t>
      </w:r>
      <w:r w:rsidRPr="001D53EE">
        <w:rPr>
          <w:rFonts w:cs="Arial"/>
        </w:rPr>
        <w:t> sp</w:t>
      </w:r>
      <w:r>
        <w:rPr>
          <w:rFonts w:cs="Arial"/>
        </w:rPr>
        <w:t>. in the application as the classification of the species is incomplete.</w:t>
      </w:r>
    </w:p>
    <w:p w14:paraId="4329EA38" w14:textId="77777777" w:rsidR="00396395" w:rsidRPr="001D53EE" w:rsidRDefault="00396395" w:rsidP="00396395">
      <w:pPr>
        <w:rPr>
          <w:rFonts w:cs="Arial"/>
        </w:rPr>
      </w:pPr>
    </w:p>
    <w:p w14:paraId="3684E61D" w14:textId="6994D297" w:rsidR="00396395" w:rsidRDefault="00396395" w:rsidP="00EC0AF8">
      <w:r>
        <w:rPr>
          <w:rFonts w:cs="Arial"/>
        </w:rPr>
        <w:t>Literature indicate that s</w:t>
      </w:r>
      <w:r w:rsidRPr="001D53EE">
        <w:rPr>
          <w:rFonts w:cs="Arial"/>
        </w:rPr>
        <w:t xml:space="preserve">ome isolates of </w:t>
      </w:r>
      <w:r w:rsidRPr="001D53EE">
        <w:rPr>
          <w:rFonts w:cs="Arial"/>
          <w:i/>
        </w:rPr>
        <w:t>Cytophaga</w:t>
      </w:r>
      <w:r w:rsidRPr="001D53EE">
        <w:rPr>
          <w:rFonts w:cs="Arial"/>
        </w:rPr>
        <w:t xml:space="preserve"> sp. have been reported to be fish pathogens (Stewalt et al., 2018)</w:t>
      </w:r>
      <w:r w:rsidR="002A5290">
        <w:rPr>
          <w:rFonts w:cs="Arial"/>
        </w:rPr>
        <w:t>, however</w:t>
      </w:r>
      <w:r w:rsidRPr="001D53EE">
        <w:rPr>
          <w:rFonts w:cs="Arial"/>
        </w:rPr>
        <w:t xml:space="preserve"> FSANZ is not aware of foodborne illnesses associated with </w:t>
      </w:r>
      <w:r w:rsidRPr="001D53EE">
        <w:rPr>
          <w:rFonts w:cs="Arial"/>
          <w:i/>
        </w:rPr>
        <w:t>Cytophaga</w:t>
      </w:r>
      <w:r w:rsidRPr="001D53EE">
        <w:rPr>
          <w:rFonts w:cs="Arial"/>
        </w:rPr>
        <w:t xml:space="preserve"> bacteria.</w:t>
      </w:r>
      <w:r w:rsidR="006A660C">
        <w:rPr>
          <w:rFonts w:cs="Arial"/>
        </w:rPr>
        <w:t xml:space="preserve"> </w:t>
      </w:r>
    </w:p>
    <w:p w14:paraId="59709545" w14:textId="34BDC9C7" w:rsidR="00CA3849" w:rsidRPr="00A92B6C" w:rsidRDefault="00CA3849" w:rsidP="00EF6B4F">
      <w:pPr>
        <w:pStyle w:val="Heading2"/>
      </w:pPr>
      <w:bookmarkStart w:id="41" w:name="_Toc499282443"/>
      <w:bookmarkStart w:id="42" w:name="_Toc505255640"/>
      <w:bookmarkStart w:id="43" w:name="_Toc98407526"/>
      <w:bookmarkStart w:id="44" w:name="_Toc103064645"/>
      <w:bookmarkEnd w:id="39"/>
      <w:bookmarkEnd w:id="40"/>
      <w:r w:rsidRPr="00A92B6C">
        <w:t>3.</w:t>
      </w:r>
      <w:r w:rsidR="00DB15BB" w:rsidRPr="00A92B6C">
        <w:t>2</w:t>
      </w:r>
      <w:r w:rsidR="001E6A7B" w:rsidRPr="00A92B6C">
        <w:tab/>
      </w:r>
      <w:r w:rsidRPr="00A92B6C">
        <w:t>Characterisation of the genetic modification(s)</w:t>
      </w:r>
      <w:bookmarkEnd w:id="41"/>
      <w:bookmarkEnd w:id="42"/>
      <w:bookmarkEnd w:id="43"/>
      <w:bookmarkEnd w:id="44"/>
    </w:p>
    <w:p w14:paraId="4F1B6BFB" w14:textId="5681E2D4" w:rsidR="00CA3849" w:rsidRDefault="00CA3849" w:rsidP="009925D0">
      <w:pPr>
        <w:pStyle w:val="Heading3"/>
      </w:pPr>
      <w:bookmarkStart w:id="45" w:name="_Toc498940971"/>
      <w:bookmarkStart w:id="46" w:name="_Toc499282444"/>
      <w:r w:rsidRPr="00A92B6C">
        <w:t>3.</w:t>
      </w:r>
      <w:r w:rsidR="00DB15BB" w:rsidRPr="00A92B6C">
        <w:t>2</w:t>
      </w:r>
      <w:r w:rsidRPr="00A92B6C">
        <w:t>.1</w:t>
      </w:r>
      <w:r w:rsidR="0035149D" w:rsidRPr="00A92B6C">
        <w:tab/>
      </w:r>
      <w:r w:rsidRPr="00A92B6C">
        <w:t>Description of DNA to be introduced and method of transformation</w:t>
      </w:r>
      <w:bookmarkEnd w:id="45"/>
      <w:bookmarkEnd w:id="46"/>
      <w:r w:rsidRPr="00A92B6C">
        <w:t xml:space="preserve"> </w:t>
      </w:r>
    </w:p>
    <w:p w14:paraId="543D4EF7" w14:textId="25F0684B" w:rsidR="00DB2802" w:rsidRDefault="00DB2802" w:rsidP="00DB2802">
      <w:pPr>
        <w:widowControl/>
        <w:rPr>
          <w:rFonts w:eastAsia="Calibri"/>
        </w:rPr>
      </w:pPr>
      <w:r>
        <w:rPr>
          <w:rFonts w:eastAsia="Calibri"/>
        </w:rPr>
        <w:t xml:space="preserve">The alpha-amylase enzyme is encoded by the </w:t>
      </w:r>
      <w:r w:rsidRPr="003B359E">
        <w:rPr>
          <w:rFonts w:eastAsia="Calibri"/>
          <w:i/>
        </w:rPr>
        <w:t>amy</w:t>
      </w:r>
      <w:r>
        <w:rPr>
          <w:rFonts w:eastAsia="Calibri"/>
        </w:rPr>
        <w:t xml:space="preserve"> gene </w:t>
      </w:r>
      <w:r w:rsidR="00126704">
        <w:rPr>
          <w:rFonts w:eastAsia="Calibri"/>
        </w:rPr>
        <w:t>derived from</w:t>
      </w:r>
      <w:r>
        <w:rPr>
          <w:rFonts w:eastAsia="Calibri"/>
        </w:rPr>
        <w:t xml:space="preserve"> </w:t>
      </w:r>
      <w:r w:rsidR="009F7BEE">
        <w:rPr>
          <w:rFonts w:eastAsia="Calibri"/>
        </w:rPr>
        <w:t xml:space="preserve">an isolate of </w:t>
      </w:r>
      <w:r w:rsidRPr="003B359E">
        <w:rPr>
          <w:rFonts w:eastAsia="Calibri"/>
          <w:i/>
        </w:rPr>
        <w:t>Cytophaga</w:t>
      </w:r>
      <w:r>
        <w:rPr>
          <w:rFonts w:eastAsia="Calibri"/>
        </w:rPr>
        <w:t xml:space="preserve"> </w:t>
      </w:r>
      <w:r w:rsidRPr="0080116F">
        <w:rPr>
          <w:rFonts w:eastAsia="Calibri"/>
        </w:rPr>
        <w:t>sp</w:t>
      </w:r>
      <w:r>
        <w:rPr>
          <w:rFonts w:eastAsia="Calibri"/>
        </w:rPr>
        <w:t xml:space="preserve">. Data provided by Danisco and analysed by FSANZ confirmed the identity of the alpha-amylase enzyme. The alpha-amylase enzyme </w:t>
      </w:r>
      <w:r w:rsidR="00126704">
        <w:rPr>
          <w:rFonts w:eastAsia="Calibri"/>
        </w:rPr>
        <w:t xml:space="preserve">has been protein engineered and </w:t>
      </w:r>
      <w:r>
        <w:rPr>
          <w:rFonts w:eastAsia="Calibri"/>
        </w:rPr>
        <w:t xml:space="preserve">contains seven amino acid changes compared to </w:t>
      </w:r>
      <w:r w:rsidR="0080116F">
        <w:rPr>
          <w:rFonts w:eastAsia="Calibri"/>
        </w:rPr>
        <w:t xml:space="preserve">the </w:t>
      </w:r>
      <w:r>
        <w:rPr>
          <w:rFonts w:eastAsia="Calibri"/>
        </w:rPr>
        <w:t>wild type alpha-amylase enzyme.</w:t>
      </w:r>
    </w:p>
    <w:p w14:paraId="4F0B48C6" w14:textId="77777777" w:rsidR="00536195" w:rsidRDefault="00536195" w:rsidP="00536195"/>
    <w:p w14:paraId="4EAF4C64" w14:textId="37CE7F30" w:rsidR="00B618B9" w:rsidRPr="001D53EE" w:rsidRDefault="002B7BB7" w:rsidP="00B618B9">
      <w:pPr>
        <w:rPr>
          <w:rFonts w:cs="Arial"/>
        </w:rPr>
      </w:pPr>
      <w:r>
        <w:rPr>
          <w:rFonts w:eastAsia="Calibri"/>
        </w:rPr>
        <w:t xml:space="preserve">The </w:t>
      </w:r>
      <w:r w:rsidR="00E97AE1" w:rsidRPr="00721AEF">
        <w:rPr>
          <w:rFonts w:eastAsia="Calibri"/>
          <w:i/>
        </w:rPr>
        <w:t>amy</w:t>
      </w:r>
      <w:r w:rsidR="00E97AE1">
        <w:rPr>
          <w:rFonts w:eastAsia="Calibri"/>
        </w:rPr>
        <w:t xml:space="preserve"> gene was inserted into the genome of </w:t>
      </w:r>
      <w:r w:rsidR="00457C8D">
        <w:rPr>
          <w:rFonts w:eastAsia="Calibri"/>
        </w:rPr>
        <w:t xml:space="preserve">the host strain </w:t>
      </w:r>
      <w:r>
        <w:rPr>
          <w:rFonts w:eastAsia="Calibri"/>
          <w:i/>
        </w:rPr>
        <w:t xml:space="preserve">B. </w:t>
      </w:r>
      <w:r w:rsidRPr="00D12658">
        <w:rPr>
          <w:rFonts w:eastAsia="Calibri"/>
          <w:i/>
        </w:rPr>
        <w:t>licheniformis</w:t>
      </w:r>
      <w:r>
        <w:rPr>
          <w:rFonts w:eastAsia="Calibri"/>
        </w:rPr>
        <w:t xml:space="preserve"> and </w:t>
      </w:r>
      <w:r w:rsidR="00457C8D">
        <w:rPr>
          <w:rFonts w:eastAsia="Calibri"/>
        </w:rPr>
        <w:t>placed</w:t>
      </w:r>
      <w:r w:rsidR="00E97AE1">
        <w:rPr>
          <w:rFonts w:eastAsia="Calibri"/>
        </w:rPr>
        <w:t xml:space="preserve"> under the control of the native </w:t>
      </w:r>
      <w:r w:rsidR="00E97AE1" w:rsidRPr="0016600D">
        <w:rPr>
          <w:rFonts w:eastAsia="Calibri"/>
          <w:i/>
        </w:rPr>
        <w:t>amyL</w:t>
      </w:r>
      <w:r w:rsidR="00E97AE1" w:rsidRPr="00E9469E">
        <w:rPr>
          <w:rFonts w:eastAsia="Calibri"/>
        </w:rPr>
        <w:t xml:space="preserve"> gene </w:t>
      </w:r>
      <w:r w:rsidR="00E97AE1">
        <w:rPr>
          <w:rFonts w:eastAsia="Calibri"/>
        </w:rPr>
        <w:t xml:space="preserve">regulatory sequences and the </w:t>
      </w:r>
      <w:r w:rsidR="00E97AE1" w:rsidRPr="00B45E8E">
        <w:rPr>
          <w:rFonts w:eastAsia="Calibri"/>
          <w:i/>
        </w:rPr>
        <w:t>aprE</w:t>
      </w:r>
      <w:r w:rsidR="00E97AE1">
        <w:rPr>
          <w:rFonts w:eastAsia="Calibri"/>
        </w:rPr>
        <w:t xml:space="preserve"> gene leader sequence</w:t>
      </w:r>
      <w:r w:rsidR="00425CF4">
        <w:rPr>
          <w:rFonts w:eastAsia="Calibri"/>
        </w:rPr>
        <w:t xml:space="preserve"> from </w:t>
      </w:r>
      <w:r w:rsidR="00425CF4" w:rsidRPr="0016600D">
        <w:rPr>
          <w:rFonts w:eastAsia="Calibri"/>
          <w:i/>
        </w:rPr>
        <w:t>B. subtilis</w:t>
      </w:r>
      <w:r w:rsidR="00E97AE1">
        <w:rPr>
          <w:rFonts w:eastAsia="Calibri"/>
        </w:rPr>
        <w:t>. The native</w:t>
      </w:r>
      <w:r w:rsidR="00E97AE1" w:rsidRPr="00DD4A6D">
        <w:rPr>
          <w:rFonts w:eastAsia="Calibri"/>
          <w:i/>
        </w:rPr>
        <w:t xml:space="preserve"> </w:t>
      </w:r>
      <w:r w:rsidR="00E97AE1">
        <w:rPr>
          <w:rFonts w:eastAsia="Calibri"/>
          <w:i/>
        </w:rPr>
        <w:t>cat</w:t>
      </w:r>
      <w:r w:rsidR="00E97AE1">
        <w:rPr>
          <w:rFonts w:eastAsia="Calibri"/>
        </w:rPr>
        <w:t xml:space="preserve"> gene was used as </w:t>
      </w:r>
      <w:r w:rsidR="002E14E1">
        <w:rPr>
          <w:rFonts w:eastAsia="Calibri"/>
        </w:rPr>
        <w:t xml:space="preserve">a </w:t>
      </w:r>
      <w:r w:rsidR="00E97AE1">
        <w:rPr>
          <w:rFonts w:eastAsia="Calibri"/>
        </w:rPr>
        <w:t>selectable marker enabling selection of positive transformants by growth on media supplemented with chloramphenicol.</w:t>
      </w:r>
      <w:r w:rsidR="005740F5">
        <w:rPr>
          <w:rFonts w:eastAsia="Calibri"/>
        </w:rPr>
        <w:t xml:space="preserve"> The </w:t>
      </w:r>
      <w:r w:rsidR="005740F5" w:rsidRPr="005740F5">
        <w:rPr>
          <w:rFonts w:eastAsia="Calibri"/>
          <w:i/>
        </w:rPr>
        <w:t>amy</w:t>
      </w:r>
      <w:r w:rsidR="005740F5">
        <w:rPr>
          <w:rFonts w:eastAsia="Calibri"/>
        </w:rPr>
        <w:t xml:space="preserve"> gene was integrated at </w:t>
      </w:r>
      <w:r w:rsidR="005740F5">
        <w:t>a specific integration site</w:t>
      </w:r>
      <w:r w:rsidR="005740F5" w:rsidRPr="00450898">
        <w:t xml:space="preserve"> in the host’s geno</w:t>
      </w:r>
      <w:r w:rsidR="005740F5">
        <w:t xml:space="preserve">me and was amplified </w:t>
      </w:r>
      <w:r w:rsidR="005740F5" w:rsidRPr="00450898">
        <w:t>through increasing concentrations of chloramphenicol to produce the final production strain</w:t>
      </w:r>
      <w:r w:rsidR="005740F5">
        <w:t>,</w:t>
      </w:r>
      <w:r w:rsidR="005740F5" w:rsidRPr="00E97AE1">
        <w:rPr>
          <w:rFonts w:eastAsia="Calibri"/>
          <w:i/>
          <w:szCs w:val="22"/>
          <w:lang w:bidi="ar-SA"/>
        </w:rPr>
        <w:t xml:space="preserve"> B. licheniformis</w:t>
      </w:r>
      <w:r w:rsidR="005740F5" w:rsidRPr="00E97AE1">
        <w:rPr>
          <w:rFonts w:eastAsia="Calibri"/>
          <w:szCs w:val="22"/>
          <w:lang w:bidi="ar-SA"/>
        </w:rPr>
        <w:t xml:space="preserve"> JML1584</w:t>
      </w:r>
      <w:r w:rsidR="005740F5" w:rsidRPr="00450898">
        <w:t>.</w:t>
      </w:r>
      <w:bookmarkStart w:id="47" w:name="_Toc498940972"/>
      <w:bookmarkStart w:id="48" w:name="_Toc499282445"/>
    </w:p>
    <w:p w14:paraId="273B4984" w14:textId="67A5FDAC" w:rsidR="00CA3849" w:rsidRDefault="00765327" w:rsidP="009925D0">
      <w:pPr>
        <w:pStyle w:val="Heading3"/>
      </w:pPr>
      <w:r>
        <w:t>3.2.</w:t>
      </w:r>
      <w:r w:rsidR="00DE07BF">
        <w:t>2</w:t>
      </w:r>
      <w:r>
        <w:t xml:space="preserve"> </w:t>
      </w:r>
      <w:r w:rsidR="00CA3849" w:rsidRPr="00A92B6C">
        <w:t>Characterisation of inserted DNA</w:t>
      </w:r>
      <w:bookmarkEnd w:id="47"/>
      <w:bookmarkEnd w:id="48"/>
    </w:p>
    <w:p w14:paraId="74E1F4A0" w14:textId="11D81CC3" w:rsidR="007E321F" w:rsidRPr="007E321F" w:rsidRDefault="007E321F" w:rsidP="007E321F">
      <w:r>
        <w:t xml:space="preserve">Data provided by Danisco confirmed </w:t>
      </w:r>
      <w:r w:rsidR="00F36CDF">
        <w:t xml:space="preserve">the presence of the </w:t>
      </w:r>
      <w:r w:rsidR="00F22B8C">
        <w:t>inserted DNA</w:t>
      </w:r>
      <w:r>
        <w:t xml:space="preserve"> in the </w:t>
      </w:r>
      <w:r w:rsidR="00F36CDF">
        <w:t xml:space="preserve">production </w:t>
      </w:r>
      <w:r w:rsidR="00F36CDF">
        <w:lastRenderedPageBreak/>
        <w:t>strain</w:t>
      </w:r>
      <w:r>
        <w:t xml:space="preserve">. No bacterial vector DNA was introduced during the genetic modification, hence antibiotic resistance genes are not found in the </w:t>
      </w:r>
      <w:r w:rsidRPr="00537E93">
        <w:rPr>
          <w:i/>
        </w:rPr>
        <w:t>B. licheniformis</w:t>
      </w:r>
      <w:r>
        <w:t xml:space="preserve"> JML1584 production strain.</w:t>
      </w:r>
    </w:p>
    <w:p w14:paraId="55C7BDA7" w14:textId="5BCBFF3C" w:rsidR="00CA3849" w:rsidRDefault="00DB15BB" w:rsidP="009925D0">
      <w:pPr>
        <w:pStyle w:val="Heading3"/>
      </w:pPr>
      <w:bookmarkStart w:id="49" w:name="_Toc498940973"/>
      <w:bookmarkStart w:id="50" w:name="_Toc499282446"/>
      <w:r w:rsidRPr="00A92B6C">
        <w:t>3.2</w:t>
      </w:r>
      <w:r w:rsidR="00765327">
        <w:t>.</w:t>
      </w:r>
      <w:r w:rsidR="00DE07BF">
        <w:t>3</w:t>
      </w:r>
      <w:r w:rsidR="0035149D" w:rsidRPr="00A92B6C">
        <w:tab/>
      </w:r>
      <w:r w:rsidR="00CA3849" w:rsidRPr="00A92B6C">
        <w:t>Genetic stability of the inserted gene</w:t>
      </w:r>
      <w:bookmarkEnd w:id="49"/>
      <w:bookmarkEnd w:id="50"/>
    </w:p>
    <w:p w14:paraId="54C1EFF2" w14:textId="5ADBBA5C" w:rsidR="007E321F" w:rsidRPr="007E321F" w:rsidRDefault="007E321F" w:rsidP="007E321F">
      <w:r>
        <w:t xml:space="preserve">The stability of the introduced DNA in the production strain was examined by genome sequencing. DNA extracted from cultures after prolonged fermentation and stock culture prior to fermentation as a control were analysed. </w:t>
      </w:r>
      <w:r w:rsidR="00457C8D">
        <w:t>The</w:t>
      </w:r>
      <w:r>
        <w:t>s</w:t>
      </w:r>
      <w:r w:rsidR="00457C8D">
        <w:t>e</w:t>
      </w:r>
      <w:r>
        <w:t xml:space="preserve"> data </w:t>
      </w:r>
      <w:r w:rsidR="00457C8D">
        <w:t xml:space="preserve">confirmed that the </w:t>
      </w:r>
      <w:r w:rsidR="00457C8D" w:rsidRPr="00457C8D">
        <w:rPr>
          <w:i/>
        </w:rPr>
        <w:t>amy</w:t>
      </w:r>
      <w:r w:rsidR="00457C8D">
        <w:t xml:space="preserve"> gene is expressed over multiple generations and is stable.</w:t>
      </w:r>
    </w:p>
    <w:p w14:paraId="25D696AF" w14:textId="1CFB6608" w:rsidR="00CA3849" w:rsidRPr="00A92B6C" w:rsidRDefault="00CA3849" w:rsidP="00EF6B4F">
      <w:pPr>
        <w:pStyle w:val="Heading2"/>
        <w:rPr>
          <w:lang w:eastAsia="en-AU"/>
        </w:rPr>
      </w:pPr>
      <w:bookmarkStart w:id="51" w:name="_Toc471740086"/>
      <w:bookmarkStart w:id="52" w:name="_Toc505255641"/>
      <w:bookmarkStart w:id="53" w:name="_Toc499282447"/>
      <w:bookmarkStart w:id="54" w:name="_Toc98407527"/>
      <w:bookmarkStart w:id="55" w:name="_Toc103064646"/>
      <w:r w:rsidRPr="00A92B6C">
        <w:t>3.</w:t>
      </w:r>
      <w:r w:rsidR="00DB15BB" w:rsidRPr="00A92B6C">
        <w:t>3</w:t>
      </w:r>
      <w:r w:rsidR="001E6A7B" w:rsidRPr="00A92B6C">
        <w:tab/>
      </w:r>
      <w:r w:rsidRPr="00A92B6C">
        <w:t xml:space="preserve">Safety of </w:t>
      </w:r>
      <w:bookmarkEnd w:id="51"/>
      <w:bookmarkEnd w:id="52"/>
      <w:bookmarkEnd w:id="53"/>
      <w:r w:rsidR="00223913" w:rsidRPr="00A92B6C">
        <w:rPr>
          <w:rFonts w:eastAsia="Calibri"/>
        </w:rPr>
        <w:t>maltogenic alpha</w:t>
      </w:r>
      <w:r w:rsidR="00271AB3">
        <w:rPr>
          <w:rFonts w:eastAsia="Calibri"/>
        </w:rPr>
        <w:t>-</w:t>
      </w:r>
      <w:r w:rsidR="00223913" w:rsidRPr="00A92B6C">
        <w:rPr>
          <w:rFonts w:eastAsia="Calibri"/>
        </w:rPr>
        <w:t>amylase</w:t>
      </w:r>
      <w:bookmarkEnd w:id="54"/>
      <w:bookmarkEnd w:id="55"/>
    </w:p>
    <w:p w14:paraId="1CC6BA13" w14:textId="261BAA8A" w:rsidR="00C15A6C" w:rsidRDefault="00C15A6C" w:rsidP="009925D0">
      <w:pPr>
        <w:pStyle w:val="Heading3"/>
      </w:pPr>
      <w:r w:rsidRPr="00A92B6C">
        <w:t>3.</w:t>
      </w:r>
      <w:r w:rsidR="002471A6" w:rsidRPr="00A92B6C">
        <w:t>3</w:t>
      </w:r>
      <w:r w:rsidRPr="00A92B6C">
        <w:t>.1</w:t>
      </w:r>
      <w:r w:rsidR="0035149D" w:rsidRPr="00A92B6C">
        <w:tab/>
      </w:r>
      <w:r w:rsidRPr="00A92B6C">
        <w:t>History of safe use of the enzyme</w:t>
      </w:r>
    </w:p>
    <w:p w14:paraId="2B9F61EB" w14:textId="1DAF1E78" w:rsidR="006343ED" w:rsidRDefault="006343ED" w:rsidP="009F702F">
      <w:pPr>
        <w:rPr>
          <w:lang w:eastAsia="en-AU" w:bidi="ar-SA"/>
        </w:rPr>
      </w:pPr>
      <w:r>
        <w:rPr>
          <w:lang w:eastAsia="en-AU" w:bidi="ar-SA"/>
        </w:rPr>
        <w:t xml:space="preserve">There are multiple </w:t>
      </w:r>
      <w:r w:rsidR="009F702F">
        <w:rPr>
          <w:lang w:eastAsia="en-AU" w:bidi="ar-SA"/>
        </w:rPr>
        <w:t>alpha-amylase enzymes from microbial sources and from malted cereals that are currently permitted as processing aids in Schedule 18 of the Code</w:t>
      </w:r>
      <w:r>
        <w:rPr>
          <w:lang w:eastAsia="en-AU" w:bidi="ar-SA"/>
        </w:rPr>
        <w:t xml:space="preserve">. However, </w:t>
      </w:r>
      <w:r w:rsidRPr="006D6FA5">
        <w:rPr>
          <w:i/>
          <w:lang w:eastAsia="en-AU" w:bidi="ar-SA"/>
        </w:rPr>
        <w:t>Cytophaga</w:t>
      </w:r>
      <w:r w:rsidRPr="006D6FA5">
        <w:rPr>
          <w:lang w:eastAsia="en-AU" w:bidi="ar-SA"/>
        </w:rPr>
        <w:t xml:space="preserve"> sp. alpha-amylase</w:t>
      </w:r>
      <w:r>
        <w:rPr>
          <w:lang w:eastAsia="en-AU" w:bidi="ar-SA"/>
        </w:rPr>
        <w:t xml:space="preserve"> is not permitted and does not have a history of safe use in Australia or New Zealand. </w:t>
      </w:r>
      <w:r w:rsidR="00AE0DF4">
        <w:rPr>
          <w:lang w:eastAsia="en-AU" w:bidi="ar-SA"/>
        </w:rPr>
        <w:t xml:space="preserve">The applicant stated </w:t>
      </w:r>
      <w:r w:rsidR="00AE0DF4" w:rsidRPr="00A15EA3">
        <w:rPr>
          <w:lang w:eastAsia="en-AU" w:bidi="ar-SA"/>
        </w:rPr>
        <w:t xml:space="preserve">that </w:t>
      </w:r>
      <w:r w:rsidR="00AE0DF4">
        <w:rPr>
          <w:lang w:eastAsia="en-AU" w:bidi="ar-SA"/>
        </w:rPr>
        <w:t>t</w:t>
      </w:r>
      <w:r>
        <w:rPr>
          <w:lang w:eastAsia="en-AU" w:bidi="ar-SA"/>
        </w:rPr>
        <w:t>he enzyme is approved for use in</w:t>
      </w:r>
      <w:r w:rsidR="005A19DD">
        <w:rPr>
          <w:lang w:eastAsia="en-AU" w:bidi="ar-SA"/>
        </w:rPr>
        <w:t xml:space="preserve"> </w:t>
      </w:r>
      <w:r w:rsidR="00A15EA3" w:rsidRPr="005F2545">
        <w:rPr>
          <w:lang w:eastAsia="en-AU" w:bidi="ar-SA"/>
        </w:rPr>
        <w:t>Denmark and France</w:t>
      </w:r>
      <w:r w:rsidR="005A19DD" w:rsidRPr="005F2545">
        <w:rPr>
          <w:lang w:eastAsia="en-AU" w:bidi="ar-SA"/>
        </w:rPr>
        <w:t>.</w:t>
      </w:r>
    </w:p>
    <w:p w14:paraId="0010DD16" w14:textId="3AF946F7" w:rsidR="006343ED" w:rsidRDefault="006343ED" w:rsidP="006343ED">
      <w:pPr>
        <w:rPr>
          <w:lang w:eastAsia="en-AU" w:bidi="ar-SA"/>
        </w:rPr>
      </w:pPr>
    </w:p>
    <w:p w14:paraId="082454B7" w14:textId="091FEF0F" w:rsidR="006343ED" w:rsidRPr="001264D3" w:rsidRDefault="006343ED" w:rsidP="006343ED">
      <w:pPr>
        <w:rPr>
          <w:lang w:eastAsia="en-AU" w:bidi="ar-SA"/>
        </w:rPr>
      </w:pPr>
      <w:r>
        <w:rPr>
          <w:lang w:eastAsia="en-AU" w:bidi="ar-SA"/>
        </w:rPr>
        <w:t xml:space="preserve">There are no known reports of adverse effects arising from the consumption of alpha-amylase used as a </w:t>
      </w:r>
      <w:r w:rsidR="004C66A1">
        <w:rPr>
          <w:lang w:eastAsia="en-AU" w:bidi="ar-SA"/>
        </w:rPr>
        <w:t xml:space="preserve">food </w:t>
      </w:r>
      <w:r>
        <w:rPr>
          <w:lang w:eastAsia="en-AU" w:bidi="ar-SA"/>
        </w:rPr>
        <w:t>processing aid in Australia or New Zealand, or any other jurisdiction where these enzymes have been approved as a processing aids.</w:t>
      </w:r>
    </w:p>
    <w:p w14:paraId="1688B063" w14:textId="4E6C4A95" w:rsidR="00B00515" w:rsidRDefault="00B00515" w:rsidP="009925D0">
      <w:pPr>
        <w:pStyle w:val="Heading3"/>
      </w:pPr>
      <w:r w:rsidRPr="00A92B6C">
        <w:t>3.</w:t>
      </w:r>
      <w:r w:rsidR="002471A6" w:rsidRPr="00A92B6C">
        <w:t>3</w:t>
      </w:r>
      <w:r w:rsidRPr="00A92B6C">
        <w:t>.2</w:t>
      </w:r>
      <w:r w:rsidRPr="00A92B6C">
        <w:tab/>
        <w:t xml:space="preserve">Bioinformatics concerning potential for toxicity </w:t>
      </w:r>
    </w:p>
    <w:p w14:paraId="515E080A" w14:textId="3E4E4799" w:rsidR="00B35861" w:rsidRPr="006805E3" w:rsidRDefault="00B35861" w:rsidP="00B35861">
      <w:pPr>
        <w:rPr>
          <w:lang w:eastAsia="en-AU" w:bidi="ar-SA"/>
        </w:rPr>
      </w:pPr>
      <w:r w:rsidRPr="006805E3">
        <w:rPr>
          <w:lang w:eastAsia="en-AU" w:bidi="ar-SA"/>
        </w:rPr>
        <w:t xml:space="preserve">A BLAST search was performed using the mature amino acid sequence </w:t>
      </w:r>
      <w:r w:rsidR="00233ADC">
        <w:rPr>
          <w:lang w:eastAsia="en-AU" w:bidi="ar-SA"/>
        </w:rPr>
        <w:t xml:space="preserve">of </w:t>
      </w:r>
      <w:r>
        <w:rPr>
          <w:lang w:eastAsia="en-AU" w:bidi="ar-SA"/>
        </w:rPr>
        <w:t>alpha-amylase</w:t>
      </w:r>
      <w:r w:rsidRPr="006805E3">
        <w:rPr>
          <w:lang w:eastAsia="en-AU" w:bidi="ar-SA"/>
        </w:rPr>
        <w:t xml:space="preserve"> against the complete </w:t>
      </w:r>
      <w:hyperlink r:id="rId22" w:history="1">
        <w:r w:rsidRPr="006805E3">
          <w:rPr>
            <w:rStyle w:val="Hyperlink"/>
            <w:lang w:eastAsia="en-AU" w:bidi="ar-SA"/>
          </w:rPr>
          <w:t>UniProt database</w:t>
        </w:r>
      </w:hyperlink>
      <w:r w:rsidRPr="006805E3">
        <w:rPr>
          <w:rStyle w:val="FootnoteReference"/>
          <w:lang w:eastAsia="en-AU" w:bidi="ar-SA"/>
        </w:rPr>
        <w:footnoteReference w:id="5"/>
      </w:r>
      <w:r w:rsidRPr="006805E3">
        <w:rPr>
          <w:lang w:eastAsia="en-AU" w:bidi="ar-SA"/>
        </w:rPr>
        <w:t>. With a conservative E-value</w:t>
      </w:r>
      <w:r w:rsidRPr="006805E3">
        <w:rPr>
          <w:rStyle w:val="FootnoteReference"/>
          <w:lang w:eastAsia="en-AU" w:bidi="ar-SA"/>
        </w:rPr>
        <w:footnoteReference w:id="6"/>
      </w:r>
      <w:r w:rsidRPr="006805E3">
        <w:rPr>
          <w:lang w:eastAsia="en-AU" w:bidi="ar-SA"/>
        </w:rPr>
        <w:t xml:space="preserve"> threshold of 0.1, </w:t>
      </w:r>
      <w:r>
        <w:rPr>
          <w:lang w:eastAsia="en-AU" w:bidi="ar-SA"/>
        </w:rPr>
        <w:t>none of the</w:t>
      </w:r>
      <w:r w:rsidRPr="006805E3">
        <w:rPr>
          <w:lang w:eastAsia="en-AU" w:bidi="ar-SA"/>
        </w:rPr>
        <w:t xml:space="preserve"> top 1000 matches were toxins or venoms.</w:t>
      </w:r>
    </w:p>
    <w:p w14:paraId="1F673A6E" w14:textId="77777777" w:rsidR="00B35861" w:rsidRPr="006805E3" w:rsidRDefault="00B35861" w:rsidP="00B35861">
      <w:pPr>
        <w:rPr>
          <w:lang w:eastAsia="en-AU" w:bidi="ar-SA"/>
        </w:rPr>
      </w:pPr>
    </w:p>
    <w:p w14:paraId="2B760FF8" w14:textId="7168B191" w:rsidR="001264D3" w:rsidRPr="001264D3" w:rsidRDefault="00B35861" w:rsidP="001264D3">
      <w:pPr>
        <w:rPr>
          <w:lang w:eastAsia="en-AU" w:bidi="ar-SA"/>
        </w:rPr>
      </w:pPr>
      <w:r w:rsidRPr="006805E3">
        <w:rPr>
          <w:lang w:eastAsia="en-AU" w:bidi="ar-SA"/>
        </w:rPr>
        <w:t>In addition, A BLAST search was performed using the mature amino acid sequence</w:t>
      </w:r>
      <w:r w:rsidR="005C0C71">
        <w:rPr>
          <w:lang w:eastAsia="en-AU" w:bidi="ar-SA"/>
        </w:rPr>
        <w:t xml:space="preserve"> </w:t>
      </w:r>
      <w:r w:rsidR="00233ADC">
        <w:rPr>
          <w:lang w:eastAsia="en-AU" w:bidi="ar-SA"/>
        </w:rPr>
        <w:t xml:space="preserve">of </w:t>
      </w:r>
      <w:r w:rsidRPr="006805E3">
        <w:rPr>
          <w:lang w:eastAsia="en-AU" w:bidi="ar-SA"/>
        </w:rPr>
        <w:t xml:space="preserve"> </w:t>
      </w:r>
      <w:r>
        <w:rPr>
          <w:lang w:eastAsia="en-AU" w:bidi="ar-SA"/>
        </w:rPr>
        <w:t>alpha-amylase</w:t>
      </w:r>
      <w:r w:rsidRPr="006805E3">
        <w:rPr>
          <w:lang w:eastAsia="en-AU" w:bidi="ar-SA"/>
        </w:rPr>
        <w:t xml:space="preserve"> against the </w:t>
      </w:r>
      <w:hyperlink r:id="rId23" w:history="1">
        <w:r w:rsidRPr="006805E3">
          <w:rPr>
            <w:rStyle w:val="Hyperlink"/>
            <w:lang w:eastAsia="en-AU" w:bidi="ar-SA"/>
          </w:rPr>
          <w:t>UniProt animal toxin database</w:t>
        </w:r>
      </w:hyperlink>
      <w:r w:rsidRPr="006805E3">
        <w:rPr>
          <w:rStyle w:val="FootnoteReference"/>
          <w:lang w:eastAsia="en-AU" w:bidi="ar-SA"/>
        </w:rPr>
        <w:footnoteReference w:id="7"/>
      </w:r>
      <w:r w:rsidRPr="006805E3">
        <w:rPr>
          <w:lang w:eastAsia="en-AU" w:bidi="ar-SA"/>
        </w:rPr>
        <w:t>. No matches to toxins or venoms were found.</w:t>
      </w:r>
    </w:p>
    <w:p w14:paraId="6D1903E5" w14:textId="2D84F279" w:rsidR="00CF7991" w:rsidRDefault="00CF7991" w:rsidP="009925D0">
      <w:pPr>
        <w:pStyle w:val="Heading3"/>
      </w:pPr>
      <w:r w:rsidRPr="00A92B6C">
        <w:t>3.</w:t>
      </w:r>
      <w:r w:rsidR="002471A6" w:rsidRPr="00A92B6C">
        <w:t>3</w:t>
      </w:r>
      <w:r w:rsidRPr="00A92B6C">
        <w:t>.3</w:t>
      </w:r>
      <w:r w:rsidRPr="00A92B6C">
        <w:tab/>
      </w:r>
      <w:r w:rsidR="00B41258" w:rsidRPr="00B41258">
        <w:t>Evaluation of enzyme toxicity studies</w:t>
      </w:r>
    </w:p>
    <w:p w14:paraId="67A0560E" w14:textId="55A9574A" w:rsidR="00B41258" w:rsidRPr="001264D3" w:rsidRDefault="00B41258" w:rsidP="00B41258">
      <w:r w:rsidRPr="001264D3">
        <w:rPr>
          <w:lang w:eastAsia="en-AU" w:bidi="ar-SA"/>
        </w:rPr>
        <w:t xml:space="preserve">The </w:t>
      </w:r>
      <w:r w:rsidR="00C1249C" w:rsidRPr="006D6FA5">
        <w:rPr>
          <w:i/>
          <w:lang w:eastAsia="en-AU" w:bidi="ar-SA"/>
        </w:rPr>
        <w:t>Cytophaga</w:t>
      </w:r>
      <w:r w:rsidR="00C1249C" w:rsidRPr="006D6FA5">
        <w:rPr>
          <w:lang w:eastAsia="en-AU" w:bidi="ar-SA"/>
        </w:rPr>
        <w:t xml:space="preserve"> sp.</w:t>
      </w:r>
      <w:r w:rsidR="00C1249C" w:rsidRPr="001264D3">
        <w:rPr>
          <w:lang w:eastAsia="en-AU" w:bidi="ar-SA"/>
        </w:rPr>
        <w:t xml:space="preserve"> alpha-amylase </w:t>
      </w:r>
      <w:r w:rsidRPr="001264D3">
        <w:rPr>
          <w:lang w:eastAsia="en-AU" w:bidi="ar-SA"/>
        </w:rPr>
        <w:t xml:space="preserve">test item used in the following toxicity studies was produced using </w:t>
      </w:r>
      <w:r w:rsidRPr="001264D3">
        <w:rPr>
          <w:i/>
          <w:lang w:eastAsia="en-AU" w:bidi="ar-SA"/>
        </w:rPr>
        <w:t>B. licheniformis</w:t>
      </w:r>
      <w:r w:rsidRPr="001264D3">
        <w:rPr>
          <w:lang w:eastAsia="en-AU" w:bidi="ar-SA"/>
        </w:rPr>
        <w:t xml:space="preserve"> </w:t>
      </w:r>
      <w:r w:rsidR="004C66A1">
        <w:rPr>
          <w:lang w:eastAsia="en-AU" w:bidi="ar-SA"/>
        </w:rPr>
        <w:t>J</w:t>
      </w:r>
      <w:r w:rsidR="001264D3" w:rsidRPr="001264D3">
        <w:rPr>
          <w:lang w:eastAsia="en-AU" w:bidi="ar-SA"/>
        </w:rPr>
        <w:t>ML</w:t>
      </w:r>
      <w:r w:rsidR="004C66A1">
        <w:rPr>
          <w:lang w:eastAsia="en-AU" w:bidi="ar-SA"/>
        </w:rPr>
        <w:t>1584</w:t>
      </w:r>
      <w:r w:rsidRPr="001264D3">
        <w:rPr>
          <w:i/>
          <w:lang w:eastAsia="en-AU" w:bidi="ar-SA"/>
        </w:rPr>
        <w:t xml:space="preserve"> </w:t>
      </w:r>
      <w:r w:rsidRPr="001264D3">
        <w:t xml:space="preserve">and was </w:t>
      </w:r>
      <w:r w:rsidRPr="001264D3">
        <w:rPr>
          <w:lang w:val="en-AU" w:eastAsia="en-AU" w:bidi="ar-SA"/>
        </w:rPr>
        <w:t>representative of the material that is the subject of this application.</w:t>
      </w:r>
    </w:p>
    <w:p w14:paraId="6056C606" w14:textId="77777777" w:rsidR="00B41258" w:rsidRPr="00B41258" w:rsidRDefault="00B41258" w:rsidP="00B41258">
      <w:pPr>
        <w:rPr>
          <w:lang w:eastAsia="en-AU" w:bidi="ar-SA"/>
        </w:rPr>
      </w:pPr>
    </w:p>
    <w:p w14:paraId="7204EB1F" w14:textId="110610A9" w:rsidR="00A92B6C" w:rsidRPr="001264D3" w:rsidRDefault="00A92B6C" w:rsidP="00A92B6C">
      <w:pPr>
        <w:rPr>
          <w:lang w:eastAsia="en-AU" w:bidi="ar-SA"/>
        </w:rPr>
      </w:pPr>
      <w:r w:rsidRPr="001264D3">
        <w:rPr>
          <w:i/>
          <w:u w:val="single"/>
          <w:lang w:eastAsia="en-AU" w:bidi="ar-SA"/>
        </w:rPr>
        <w:t xml:space="preserve">90-day repeated dose oral toxicity study in rats </w:t>
      </w:r>
      <w:r w:rsidR="001264D3">
        <w:rPr>
          <w:i/>
          <w:u w:val="single"/>
          <w:lang w:eastAsia="en-AU" w:bidi="ar-SA"/>
        </w:rPr>
        <w:t>(MPI Research</w:t>
      </w:r>
      <w:r w:rsidRPr="001264D3">
        <w:rPr>
          <w:i/>
          <w:u w:val="single"/>
          <w:lang w:eastAsia="en-AU" w:bidi="ar-SA"/>
        </w:rPr>
        <w:t>, 201</w:t>
      </w:r>
      <w:r w:rsidR="00656D56">
        <w:rPr>
          <w:i/>
          <w:u w:val="single"/>
          <w:lang w:eastAsia="en-AU" w:bidi="ar-SA"/>
        </w:rPr>
        <w:t>4</w:t>
      </w:r>
      <w:r w:rsidRPr="001264D3">
        <w:rPr>
          <w:i/>
          <w:u w:val="single"/>
          <w:lang w:eastAsia="en-AU" w:bidi="ar-SA"/>
        </w:rPr>
        <w:t>). Regulatory Status: GLP; conducted according to OECD Test Guideline</w:t>
      </w:r>
      <w:r w:rsidR="00582B48">
        <w:rPr>
          <w:i/>
          <w:u w:val="single"/>
          <w:lang w:eastAsia="en-AU" w:bidi="ar-SA"/>
        </w:rPr>
        <w:t xml:space="preserve"> (TG)</w:t>
      </w:r>
      <w:r w:rsidRPr="001264D3">
        <w:rPr>
          <w:i/>
          <w:u w:val="single"/>
          <w:lang w:eastAsia="en-AU" w:bidi="ar-SA"/>
        </w:rPr>
        <w:t xml:space="preserve"> 408.</w:t>
      </w:r>
      <w:r w:rsidRPr="001264D3">
        <w:rPr>
          <w:lang w:eastAsia="en-AU" w:bidi="ar-SA"/>
        </w:rPr>
        <w:t xml:space="preserve"> </w:t>
      </w:r>
    </w:p>
    <w:p w14:paraId="41BD07FC" w14:textId="77777777" w:rsidR="00A92B6C" w:rsidRPr="00DC06C8" w:rsidRDefault="00A92B6C" w:rsidP="00A92B6C">
      <w:pPr>
        <w:rPr>
          <w:lang w:eastAsia="en-AU" w:bidi="ar-SA"/>
        </w:rPr>
      </w:pPr>
    </w:p>
    <w:p w14:paraId="0BE834FA" w14:textId="6C14029F" w:rsidR="00A92B6C" w:rsidRPr="00C0277B" w:rsidRDefault="00A92B6C" w:rsidP="00A92B6C">
      <w:pPr>
        <w:rPr>
          <w:lang w:eastAsia="en-AU" w:bidi="ar-SA"/>
        </w:rPr>
      </w:pPr>
      <w:r w:rsidRPr="00A712B8">
        <w:rPr>
          <w:lang w:eastAsia="en-AU" w:bidi="ar-SA"/>
        </w:rPr>
        <w:t xml:space="preserve">The alpha-amylase test item was administered to </w:t>
      </w:r>
      <w:r w:rsidR="00A712B8" w:rsidRPr="00A712B8">
        <w:rPr>
          <w:lang w:eastAsia="en-AU" w:bidi="ar-SA"/>
        </w:rPr>
        <w:t>Crl:CD(SD)</w:t>
      </w:r>
      <w:r w:rsidRPr="00A712B8">
        <w:rPr>
          <w:lang w:eastAsia="en-AU" w:bidi="ar-SA"/>
        </w:rPr>
        <w:t xml:space="preserve"> rats (10/sex /group) at </w:t>
      </w:r>
      <w:r w:rsidR="001264D3" w:rsidRPr="00A712B8">
        <w:rPr>
          <w:lang w:eastAsia="en-AU" w:bidi="ar-SA"/>
        </w:rPr>
        <w:t xml:space="preserve">doses of </w:t>
      </w:r>
      <w:r w:rsidR="001264D3" w:rsidRPr="00C0277B">
        <w:rPr>
          <w:lang w:eastAsia="en-AU" w:bidi="ar-SA"/>
        </w:rPr>
        <w:t>0, 100</w:t>
      </w:r>
      <w:r w:rsidRPr="00C0277B">
        <w:rPr>
          <w:lang w:eastAsia="en-AU" w:bidi="ar-SA"/>
        </w:rPr>
        <w:t xml:space="preserve">, </w:t>
      </w:r>
      <w:r w:rsidR="001264D3" w:rsidRPr="00C0277B">
        <w:rPr>
          <w:lang w:eastAsia="en-AU" w:bidi="ar-SA"/>
        </w:rPr>
        <w:t>250</w:t>
      </w:r>
      <w:r w:rsidRPr="00C0277B">
        <w:rPr>
          <w:lang w:eastAsia="en-AU" w:bidi="ar-SA"/>
        </w:rPr>
        <w:t xml:space="preserve"> and </w:t>
      </w:r>
      <w:r w:rsidR="001264D3" w:rsidRPr="00C0277B">
        <w:rPr>
          <w:lang w:eastAsia="en-AU" w:bidi="ar-SA"/>
        </w:rPr>
        <w:t>50</w:t>
      </w:r>
      <w:r w:rsidRPr="00C0277B">
        <w:rPr>
          <w:lang w:eastAsia="en-AU" w:bidi="ar-SA"/>
        </w:rPr>
        <w:t>0 mg</w:t>
      </w:r>
      <w:r w:rsidR="00ED537B" w:rsidRPr="00C0277B">
        <w:rPr>
          <w:lang w:eastAsia="en-AU" w:bidi="ar-SA"/>
        </w:rPr>
        <w:t xml:space="preserve"> Total Organic Solids (TOS)</w:t>
      </w:r>
      <w:r w:rsidRPr="00C0277B">
        <w:rPr>
          <w:lang w:eastAsia="en-AU" w:bidi="ar-SA"/>
        </w:rPr>
        <w:t xml:space="preserve">/kg </w:t>
      </w:r>
      <w:r w:rsidR="00ED537B" w:rsidRPr="00C0277B">
        <w:rPr>
          <w:lang w:eastAsia="en-AU" w:bidi="ar-SA"/>
        </w:rPr>
        <w:t>body weight (</w:t>
      </w:r>
      <w:r w:rsidRPr="00C0277B">
        <w:rPr>
          <w:lang w:eastAsia="en-AU" w:bidi="ar-SA"/>
        </w:rPr>
        <w:t>bw</w:t>
      </w:r>
      <w:r w:rsidR="00ED537B" w:rsidRPr="00C0277B">
        <w:rPr>
          <w:lang w:eastAsia="en-AU" w:bidi="ar-SA"/>
        </w:rPr>
        <w:t>)</w:t>
      </w:r>
      <w:r w:rsidRPr="00C0277B">
        <w:rPr>
          <w:lang w:eastAsia="en-AU" w:bidi="ar-SA"/>
        </w:rPr>
        <w:t xml:space="preserve">/day by oral gavage for 13 weeks. The vehicle control was </w:t>
      </w:r>
      <w:r w:rsidR="00A712B8" w:rsidRPr="00C0277B">
        <w:rPr>
          <w:lang w:eastAsia="en-AU" w:bidi="ar-SA"/>
        </w:rPr>
        <w:t>distilled water</w:t>
      </w:r>
      <w:r w:rsidRPr="00C0277B">
        <w:rPr>
          <w:lang w:eastAsia="en-AU" w:bidi="ar-SA"/>
        </w:rPr>
        <w:t xml:space="preserve">. </w:t>
      </w:r>
    </w:p>
    <w:p w14:paraId="664519E8" w14:textId="747F2D99" w:rsidR="00A92B6C" w:rsidRPr="00C0277B" w:rsidRDefault="00A92B6C" w:rsidP="00A92B6C">
      <w:pPr>
        <w:rPr>
          <w:lang w:eastAsia="en-AU" w:bidi="ar-SA"/>
        </w:rPr>
      </w:pPr>
    </w:p>
    <w:p w14:paraId="03FFD73D" w14:textId="5BD4D4F0" w:rsidR="00A92B6C" w:rsidRPr="00C0277B" w:rsidRDefault="00A712B8" w:rsidP="00A92B6C">
      <w:pPr>
        <w:rPr>
          <w:lang w:eastAsia="en-AU" w:bidi="ar-SA"/>
        </w:rPr>
      </w:pPr>
      <w:r w:rsidRPr="00C0277B">
        <w:rPr>
          <w:lang w:eastAsia="en-AU" w:bidi="ar-SA"/>
        </w:rPr>
        <w:t>Animals</w:t>
      </w:r>
      <w:r w:rsidR="007C3511" w:rsidRPr="00C0277B">
        <w:rPr>
          <w:lang w:eastAsia="en-AU" w:bidi="ar-SA"/>
        </w:rPr>
        <w:t xml:space="preserve"> were observed</w:t>
      </w:r>
      <w:r w:rsidR="00A92B6C" w:rsidRPr="00C0277B">
        <w:rPr>
          <w:lang w:eastAsia="en-AU" w:bidi="ar-SA"/>
        </w:rPr>
        <w:t xml:space="preserve"> daily. Body weight, food consumption and detailed clinical examinations for signs of toxicity were recorded weekly. Ophthalmological examination was </w:t>
      </w:r>
      <w:r w:rsidR="00A92B6C" w:rsidRPr="00C0277B">
        <w:rPr>
          <w:lang w:eastAsia="en-AU" w:bidi="ar-SA"/>
        </w:rPr>
        <w:lastRenderedPageBreak/>
        <w:t>conducted on all test animals prior to treatment and at study termination. Functional performance and sensory reactivity t</w:t>
      </w:r>
      <w:r w:rsidR="007C3511" w:rsidRPr="00C0277B">
        <w:rPr>
          <w:lang w:eastAsia="en-AU" w:bidi="ar-SA"/>
        </w:rPr>
        <w:t>ests were performed in week 13</w:t>
      </w:r>
      <w:r w:rsidR="00A92B6C" w:rsidRPr="00C0277B">
        <w:rPr>
          <w:lang w:eastAsia="en-AU" w:bidi="ar-SA"/>
        </w:rPr>
        <w:t>. Gross pathology</w:t>
      </w:r>
      <w:r w:rsidR="00582B48" w:rsidRPr="00C0277B">
        <w:rPr>
          <w:lang w:eastAsia="en-AU" w:bidi="ar-SA"/>
        </w:rPr>
        <w:t>, haematology, clinical chemistry</w:t>
      </w:r>
      <w:r w:rsidR="00A92B6C" w:rsidRPr="00C0277B">
        <w:rPr>
          <w:lang w:eastAsia="en-AU" w:bidi="ar-SA"/>
        </w:rPr>
        <w:t xml:space="preserve"> and measurement of organ weights was conducted on all animals at study termination, and a histopathological examination was conducted on organs and tissues from the control and high-dose group animals. </w:t>
      </w:r>
    </w:p>
    <w:p w14:paraId="08F0FF9A" w14:textId="77777777" w:rsidR="00A92B6C" w:rsidRPr="00C0277B" w:rsidRDefault="00A92B6C" w:rsidP="00A92B6C">
      <w:pPr>
        <w:rPr>
          <w:lang w:eastAsia="en-AU" w:bidi="ar-SA"/>
        </w:rPr>
      </w:pPr>
    </w:p>
    <w:p w14:paraId="208A7284" w14:textId="7CC5397A" w:rsidR="00A92B6C" w:rsidRPr="00C0277B" w:rsidRDefault="00A92B6C" w:rsidP="00A92B6C">
      <w:pPr>
        <w:rPr>
          <w:lang w:val="en-AU" w:eastAsia="en-AU" w:bidi="ar-SA"/>
        </w:rPr>
      </w:pPr>
      <w:r w:rsidRPr="00C0277B">
        <w:rPr>
          <w:lang w:val="en-AU" w:eastAsia="en-AU" w:bidi="ar-SA"/>
        </w:rPr>
        <w:t xml:space="preserve">No mortality occurred during the study. No </w:t>
      </w:r>
      <w:r w:rsidR="00233ADC" w:rsidRPr="00C0277B">
        <w:rPr>
          <w:lang w:val="en-AU" w:eastAsia="en-AU" w:bidi="ar-SA"/>
        </w:rPr>
        <w:t>treatment-</w:t>
      </w:r>
      <w:r w:rsidRPr="00C0277B">
        <w:rPr>
          <w:lang w:val="en-AU" w:eastAsia="en-AU" w:bidi="ar-SA"/>
        </w:rPr>
        <w:t xml:space="preserve">related effects were observed </w:t>
      </w:r>
      <w:r w:rsidRPr="00C0277B">
        <w:rPr>
          <w:lang w:eastAsia="en-AU" w:bidi="ar-SA"/>
        </w:rPr>
        <w:t>on feed consumption, body weights, haematology, clinical chemistry, ophthalmology, or fu</w:t>
      </w:r>
      <w:r w:rsidR="00582B48" w:rsidRPr="00C0277B">
        <w:rPr>
          <w:lang w:eastAsia="en-AU" w:bidi="ar-SA"/>
        </w:rPr>
        <w:t>nctional observations functional performance or sensory reactivity</w:t>
      </w:r>
      <w:r w:rsidRPr="00C0277B">
        <w:rPr>
          <w:lang w:eastAsia="en-AU" w:bidi="ar-SA"/>
        </w:rPr>
        <w:t>. No treatment-related macroscopic abnormalities or histopathologic</w:t>
      </w:r>
      <w:r w:rsidR="004C66A1" w:rsidRPr="00C0277B">
        <w:rPr>
          <w:lang w:eastAsia="en-AU" w:bidi="ar-SA"/>
        </w:rPr>
        <w:t>al</w:t>
      </w:r>
      <w:r w:rsidRPr="00C0277B">
        <w:rPr>
          <w:lang w:eastAsia="en-AU" w:bidi="ar-SA"/>
        </w:rPr>
        <w:t xml:space="preserve"> findings</w:t>
      </w:r>
      <w:r w:rsidRPr="00C0277B">
        <w:rPr>
          <w:szCs w:val="20"/>
          <w:lang w:val="en-AU"/>
        </w:rPr>
        <w:t xml:space="preserve"> </w:t>
      </w:r>
      <w:r w:rsidR="004C66A1" w:rsidRPr="00C0277B">
        <w:rPr>
          <w:lang w:val="en-AU" w:eastAsia="en-AU" w:bidi="ar-SA"/>
        </w:rPr>
        <w:t xml:space="preserve">were observed </w:t>
      </w:r>
      <w:r w:rsidRPr="00C0277B">
        <w:rPr>
          <w:szCs w:val="20"/>
          <w:lang w:val="en-AU"/>
        </w:rPr>
        <w:t>in any of the test animals</w:t>
      </w:r>
      <w:r w:rsidRPr="00C0277B">
        <w:rPr>
          <w:lang w:eastAsia="en-AU" w:bidi="ar-SA"/>
        </w:rPr>
        <w:t xml:space="preserve"> </w:t>
      </w:r>
      <w:r w:rsidRPr="00C0277B">
        <w:rPr>
          <w:lang w:val="en-AU" w:eastAsia="en-AU" w:bidi="ar-SA"/>
        </w:rPr>
        <w:t xml:space="preserve">at necropsy. </w:t>
      </w:r>
    </w:p>
    <w:p w14:paraId="7A57F4F0" w14:textId="77777777" w:rsidR="00A92B6C" w:rsidRPr="00C0277B" w:rsidRDefault="00A92B6C" w:rsidP="00A92B6C">
      <w:pPr>
        <w:rPr>
          <w:lang w:val="en-AU" w:eastAsia="en-AU" w:bidi="ar-SA"/>
        </w:rPr>
      </w:pPr>
    </w:p>
    <w:p w14:paraId="1B5C83DD" w14:textId="08F79EB6" w:rsidR="00A92B6C" w:rsidRPr="00C0277B" w:rsidRDefault="00A92B6C" w:rsidP="00A92B6C">
      <w:pPr>
        <w:rPr>
          <w:lang w:eastAsia="en-AU" w:bidi="ar-SA"/>
        </w:rPr>
      </w:pPr>
      <w:r w:rsidRPr="00C0277B">
        <w:rPr>
          <w:lang w:val="en-AU" w:eastAsia="en-AU" w:bidi="ar-SA"/>
        </w:rPr>
        <w:t xml:space="preserve">The </w:t>
      </w:r>
      <w:r w:rsidRPr="00C0277B">
        <w:rPr>
          <w:lang w:eastAsia="en-AU" w:bidi="ar-SA"/>
        </w:rPr>
        <w:t>N</w:t>
      </w:r>
      <w:r w:rsidR="00FC5302" w:rsidRPr="00C0277B">
        <w:rPr>
          <w:lang w:eastAsia="en-AU" w:bidi="ar-SA"/>
        </w:rPr>
        <w:t xml:space="preserve">o </w:t>
      </w:r>
      <w:r w:rsidRPr="00C0277B">
        <w:rPr>
          <w:lang w:eastAsia="en-AU" w:bidi="ar-SA"/>
        </w:rPr>
        <w:t>O</w:t>
      </w:r>
      <w:r w:rsidR="00FC5302" w:rsidRPr="00C0277B">
        <w:rPr>
          <w:lang w:eastAsia="en-AU" w:bidi="ar-SA"/>
        </w:rPr>
        <w:t xml:space="preserve">bserved </w:t>
      </w:r>
      <w:r w:rsidRPr="00C0277B">
        <w:rPr>
          <w:lang w:eastAsia="en-AU" w:bidi="ar-SA"/>
        </w:rPr>
        <w:t>A</w:t>
      </w:r>
      <w:r w:rsidR="00FC5302" w:rsidRPr="00C0277B">
        <w:rPr>
          <w:lang w:eastAsia="en-AU" w:bidi="ar-SA"/>
        </w:rPr>
        <w:t xml:space="preserve">dverse </w:t>
      </w:r>
      <w:r w:rsidRPr="00C0277B">
        <w:rPr>
          <w:lang w:eastAsia="en-AU" w:bidi="ar-SA"/>
        </w:rPr>
        <w:t>E</w:t>
      </w:r>
      <w:r w:rsidR="00FC5302" w:rsidRPr="00C0277B">
        <w:rPr>
          <w:lang w:eastAsia="en-AU" w:bidi="ar-SA"/>
        </w:rPr>
        <w:t xml:space="preserve">ffect </w:t>
      </w:r>
      <w:r w:rsidRPr="00C0277B">
        <w:rPr>
          <w:lang w:eastAsia="en-AU" w:bidi="ar-SA"/>
        </w:rPr>
        <w:t>L</w:t>
      </w:r>
      <w:r w:rsidR="00FC5302" w:rsidRPr="00C0277B">
        <w:rPr>
          <w:lang w:eastAsia="en-AU" w:bidi="ar-SA"/>
        </w:rPr>
        <w:t>evel (NOAEL)</w:t>
      </w:r>
      <w:r w:rsidRPr="00C0277B">
        <w:rPr>
          <w:lang w:eastAsia="en-AU" w:bidi="ar-SA"/>
        </w:rPr>
        <w:t xml:space="preserve"> was set</w:t>
      </w:r>
      <w:r w:rsidR="007C3511" w:rsidRPr="00C0277B">
        <w:rPr>
          <w:lang w:eastAsia="en-AU" w:bidi="ar-SA"/>
        </w:rPr>
        <w:t xml:space="preserve"> at 50</w:t>
      </w:r>
      <w:r w:rsidRPr="00C0277B">
        <w:rPr>
          <w:lang w:eastAsia="en-AU" w:bidi="ar-SA"/>
        </w:rPr>
        <w:t>0 mg</w:t>
      </w:r>
      <w:r w:rsidR="00ED537B" w:rsidRPr="00C0277B">
        <w:rPr>
          <w:lang w:eastAsia="en-AU" w:bidi="ar-SA"/>
        </w:rPr>
        <w:t xml:space="preserve"> TOS</w:t>
      </w:r>
      <w:r w:rsidRPr="00C0277B">
        <w:rPr>
          <w:lang w:eastAsia="en-AU" w:bidi="ar-SA"/>
        </w:rPr>
        <w:t>/kg bw/day, which was the highest dose tested.</w:t>
      </w:r>
    </w:p>
    <w:p w14:paraId="473B85AF" w14:textId="77777777" w:rsidR="00A92B6C" w:rsidRPr="00C0277B" w:rsidRDefault="00A92B6C" w:rsidP="00A92B6C">
      <w:pPr>
        <w:rPr>
          <w:lang w:eastAsia="en-AU" w:bidi="ar-SA"/>
        </w:rPr>
      </w:pPr>
    </w:p>
    <w:p w14:paraId="51846097" w14:textId="77777777" w:rsidR="00A92B6C" w:rsidRPr="00C0277B" w:rsidRDefault="00A92B6C" w:rsidP="00A92B6C">
      <w:pPr>
        <w:rPr>
          <w:b/>
          <w:i/>
          <w:lang w:val="en-US" w:bidi="ar-SA"/>
        </w:rPr>
      </w:pPr>
      <w:r w:rsidRPr="00C0277B">
        <w:rPr>
          <w:b/>
          <w:i/>
          <w:lang w:val="en-US" w:bidi="ar-SA"/>
        </w:rPr>
        <w:t>Genotoxicity</w:t>
      </w:r>
    </w:p>
    <w:p w14:paraId="5E7A6EC6" w14:textId="77777777" w:rsidR="00A92B6C" w:rsidRPr="00C0277B" w:rsidRDefault="00A92B6C" w:rsidP="00A92B6C">
      <w:pPr>
        <w:rPr>
          <w:lang w:val="en-US" w:bidi="ar-SA"/>
        </w:rPr>
      </w:pPr>
    </w:p>
    <w:p w14:paraId="19F88DAE" w14:textId="20682726" w:rsidR="00A92B6C" w:rsidRPr="00582B48" w:rsidRDefault="00A92B6C" w:rsidP="00A92B6C">
      <w:pPr>
        <w:rPr>
          <w:i/>
          <w:u w:val="single"/>
          <w:lang w:val="en-US" w:bidi="ar-SA"/>
        </w:rPr>
      </w:pPr>
      <w:r w:rsidRPr="00C0277B">
        <w:rPr>
          <w:i/>
          <w:u w:val="single"/>
          <w:lang w:val="en-US" w:bidi="ar-SA"/>
        </w:rPr>
        <w:t>Bacterial reverse mutation test (</w:t>
      </w:r>
      <w:r w:rsidR="00582B48" w:rsidRPr="00C0277B">
        <w:rPr>
          <w:i/>
          <w:u w:val="single"/>
          <w:lang w:val="en-US" w:bidi="ar-SA"/>
        </w:rPr>
        <w:t>BioReliance, 2014</w:t>
      </w:r>
      <w:r w:rsidRPr="00C0277B">
        <w:rPr>
          <w:i/>
          <w:u w:val="single"/>
          <w:lang w:val="en-US" w:bidi="ar-SA"/>
        </w:rPr>
        <w:t xml:space="preserve">). Regulatory Status: GLP; conducted </w:t>
      </w:r>
      <w:r w:rsidRPr="00582B48">
        <w:rPr>
          <w:i/>
          <w:u w:val="single"/>
          <w:lang w:val="en-US" w:bidi="ar-SA"/>
        </w:rPr>
        <w:t xml:space="preserve">according to OECD </w:t>
      </w:r>
      <w:r w:rsidR="00582B48" w:rsidRPr="00582B48">
        <w:rPr>
          <w:i/>
          <w:u w:val="single"/>
          <w:lang w:val="en-US" w:bidi="ar-SA"/>
        </w:rPr>
        <w:t>TG</w:t>
      </w:r>
      <w:r w:rsidRPr="00582B48">
        <w:rPr>
          <w:i/>
          <w:u w:val="single"/>
          <w:lang w:val="en-US" w:bidi="ar-SA"/>
        </w:rPr>
        <w:t xml:space="preserve"> 471.</w:t>
      </w:r>
    </w:p>
    <w:p w14:paraId="6F600754" w14:textId="77777777" w:rsidR="00A92B6C" w:rsidRPr="00582B48" w:rsidRDefault="00A92B6C" w:rsidP="00A92B6C">
      <w:pPr>
        <w:rPr>
          <w:lang w:val="en-US" w:bidi="ar-SA"/>
        </w:rPr>
      </w:pPr>
    </w:p>
    <w:p w14:paraId="5206076B" w14:textId="67F34A3F" w:rsidR="00A92B6C" w:rsidRPr="00C0277B" w:rsidRDefault="00A92B6C" w:rsidP="00A92B6C">
      <w:pPr>
        <w:rPr>
          <w:highlight w:val="yellow"/>
          <w:lang w:val="en-US" w:bidi="ar-SA"/>
        </w:rPr>
      </w:pPr>
      <w:r w:rsidRPr="00582B48">
        <w:rPr>
          <w:lang w:val="en-US" w:bidi="ar-SA"/>
        </w:rPr>
        <w:t xml:space="preserve">The potential mutagenicity of alpha-amylase was evaluated in </w:t>
      </w:r>
      <w:r w:rsidRPr="00582B48">
        <w:rPr>
          <w:i/>
          <w:lang w:val="en-US" w:bidi="ar-SA"/>
        </w:rPr>
        <w:t xml:space="preserve">Salmonella </w:t>
      </w:r>
      <w:r w:rsidR="007E4AE2" w:rsidRPr="007E4AE2">
        <w:rPr>
          <w:i/>
          <w:lang w:val="en-US" w:bidi="ar-SA"/>
        </w:rPr>
        <w:t>enterica</w:t>
      </w:r>
      <w:r w:rsidR="007E4AE2" w:rsidRPr="007E4AE2">
        <w:rPr>
          <w:lang w:val="en-US" w:bidi="ar-SA"/>
        </w:rPr>
        <w:t xml:space="preserve"> ser. Typhimurium</w:t>
      </w:r>
      <w:r w:rsidRPr="00582B48">
        <w:rPr>
          <w:lang w:val="en-US" w:bidi="ar-SA"/>
        </w:rPr>
        <w:t xml:space="preserve"> strains TA98, TA100, TA1535, TA1537 and </w:t>
      </w:r>
      <w:r w:rsidRPr="00582B48">
        <w:rPr>
          <w:i/>
          <w:lang w:val="en-US" w:bidi="ar-SA"/>
        </w:rPr>
        <w:t xml:space="preserve">Escherichia coli </w:t>
      </w:r>
      <w:r w:rsidRPr="00582B48">
        <w:rPr>
          <w:lang w:val="en-US" w:bidi="ar-SA"/>
        </w:rPr>
        <w:t xml:space="preserve">strain WP2 </w:t>
      </w:r>
      <w:r w:rsidRPr="00582B48">
        <w:rPr>
          <w:i/>
          <w:lang w:val="en-US" w:bidi="ar-SA"/>
        </w:rPr>
        <w:t>uvrA</w:t>
      </w:r>
      <w:r w:rsidRPr="00582B48">
        <w:rPr>
          <w:lang w:val="en-US" w:bidi="ar-SA"/>
        </w:rPr>
        <w:t xml:space="preserve">, with and without metabolic activation using rat liver homogenate (S9). </w:t>
      </w:r>
      <w:r w:rsidR="00B40B80">
        <w:rPr>
          <w:lang w:val="en-US" w:bidi="ar-SA"/>
        </w:rPr>
        <w:t>A complete mutation test was undertaken at a wide dose-range (1.5</w:t>
      </w:r>
      <w:r w:rsidR="005F2545">
        <w:rPr>
          <w:lang w:val="en-US" w:bidi="ar-SA"/>
        </w:rPr>
        <w:t xml:space="preserve"> – </w:t>
      </w:r>
      <w:r w:rsidR="00B40B80">
        <w:rPr>
          <w:lang w:val="en-US" w:bidi="ar-SA"/>
        </w:rPr>
        <w:t>5000</w:t>
      </w:r>
      <w:r w:rsidR="005F2545">
        <w:rPr>
          <w:lang w:val="en-US" w:bidi="ar-SA"/>
        </w:rPr>
        <w:t xml:space="preserve"> </w:t>
      </w:r>
      <w:r w:rsidR="005F2545">
        <w:rPr>
          <w:rFonts w:cs="Arial"/>
          <w:lang w:val="en-US" w:bidi="ar-SA"/>
        </w:rPr>
        <w:t>µ</w:t>
      </w:r>
      <w:r w:rsidR="00B40B80">
        <w:rPr>
          <w:lang w:val="en-US" w:bidi="ar-SA"/>
        </w:rPr>
        <w:t xml:space="preserve">g protein/plate), which was followed by an </w:t>
      </w:r>
      <w:r w:rsidR="005F2545">
        <w:rPr>
          <w:lang w:val="en-US" w:bidi="ar-SA"/>
        </w:rPr>
        <w:t>additional</w:t>
      </w:r>
      <w:r w:rsidR="00B40B80">
        <w:rPr>
          <w:lang w:val="en-US" w:bidi="ar-SA"/>
        </w:rPr>
        <w:t xml:space="preserve"> c</w:t>
      </w:r>
      <w:r w:rsidR="00B40B80" w:rsidRPr="00B40B80">
        <w:rPr>
          <w:lang w:val="en-US" w:bidi="ar-SA"/>
        </w:rPr>
        <w:t>onfirmatory mutation test using a refined dose-range (15</w:t>
      </w:r>
      <w:r w:rsidR="005F2545">
        <w:rPr>
          <w:lang w:val="en-US" w:bidi="ar-SA"/>
        </w:rPr>
        <w:t xml:space="preserve"> – </w:t>
      </w:r>
      <w:r w:rsidRPr="00B40B80">
        <w:rPr>
          <w:lang w:val="en-US" w:bidi="ar-SA"/>
        </w:rPr>
        <w:t xml:space="preserve">5000 </w:t>
      </w:r>
      <w:r w:rsidRPr="00B40B80">
        <w:rPr>
          <w:rFonts w:cs="Arial"/>
          <w:lang w:val="en-US" w:bidi="ar-SA"/>
        </w:rPr>
        <w:t>µ</w:t>
      </w:r>
      <w:r w:rsidRPr="00B40B80">
        <w:rPr>
          <w:lang w:val="en-US" w:bidi="ar-SA"/>
        </w:rPr>
        <w:t>g protein/plate</w:t>
      </w:r>
      <w:r w:rsidR="00B40B80" w:rsidRPr="00B40B80">
        <w:rPr>
          <w:lang w:val="en-US" w:bidi="ar-SA"/>
        </w:rPr>
        <w:t>)</w:t>
      </w:r>
      <w:r w:rsidR="00BE61C5">
        <w:rPr>
          <w:lang w:val="en-US" w:bidi="ar-SA"/>
        </w:rPr>
        <w:t xml:space="preserve">. Bacterial cultures were treated for 1 hour with the test item, before treatment </w:t>
      </w:r>
      <w:r w:rsidR="00BE61C5" w:rsidRPr="00C0277B">
        <w:rPr>
          <w:lang w:val="en-US" w:bidi="ar-SA"/>
        </w:rPr>
        <w:t>was removed and cells plated (treat and plate method).</w:t>
      </w:r>
    </w:p>
    <w:p w14:paraId="4C576EE9" w14:textId="77777777" w:rsidR="00A92B6C" w:rsidRPr="00C0277B" w:rsidRDefault="00A92B6C" w:rsidP="00A92B6C">
      <w:pPr>
        <w:rPr>
          <w:lang w:val="en-US" w:bidi="ar-SA"/>
        </w:rPr>
      </w:pPr>
    </w:p>
    <w:p w14:paraId="5146AEB8" w14:textId="25CA6C63" w:rsidR="00A92B6C" w:rsidRPr="00C0277B" w:rsidRDefault="00A92B6C" w:rsidP="00A92B6C">
      <w:pPr>
        <w:rPr>
          <w:lang w:val="en-US" w:bidi="ar-SA"/>
        </w:rPr>
      </w:pPr>
      <w:r w:rsidRPr="00C0277B">
        <w:rPr>
          <w:lang w:val="en-US" w:bidi="ar-SA"/>
        </w:rPr>
        <w:t xml:space="preserve">Positive controls in the absence metabolic activation were </w:t>
      </w:r>
      <w:r w:rsidRPr="00C0277B">
        <w:rPr>
          <w:i/>
          <w:lang w:val="en-US" w:bidi="ar-SA"/>
        </w:rPr>
        <w:t>N</w:t>
      </w:r>
      <w:r w:rsidRPr="00C0277B">
        <w:rPr>
          <w:lang w:val="en-US" w:bidi="ar-SA"/>
        </w:rPr>
        <w:t>-</w:t>
      </w:r>
      <w:r w:rsidR="00EE05FF" w:rsidRPr="00C0277B">
        <w:rPr>
          <w:lang w:val="en-US" w:bidi="ar-SA"/>
        </w:rPr>
        <w:t>m</w:t>
      </w:r>
      <w:r w:rsidRPr="00C0277B">
        <w:rPr>
          <w:lang w:val="en-US" w:bidi="ar-SA"/>
        </w:rPr>
        <w:t>ethyl-</w:t>
      </w:r>
      <w:r w:rsidRPr="00C0277B">
        <w:rPr>
          <w:i/>
          <w:lang w:val="en-US" w:bidi="ar-SA"/>
        </w:rPr>
        <w:t>N</w:t>
      </w:r>
      <w:r w:rsidRPr="00C0277B">
        <w:rPr>
          <w:lang w:val="en-US" w:bidi="ar-SA"/>
        </w:rPr>
        <w:t>-nitro</w:t>
      </w:r>
      <w:r w:rsidR="00EE05FF" w:rsidRPr="00C0277B">
        <w:rPr>
          <w:lang w:val="en-US" w:bidi="ar-SA"/>
        </w:rPr>
        <w:t>-</w:t>
      </w:r>
      <w:r w:rsidR="00EE05FF" w:rsidRPr="00C0277B">
        <w:rPr>
          <w:i/>
          <w:lang w:val="en-US" w:bidi="ar-SA"/>
        </w:rPr>
        <w:t>N</w:t>
      </w:r>
      <w:r w:rsidR="00EE05FF" w:rsidRPr="00C0277B">
        <w:rPr>
          <w:lang w:val="en-US" w:bidi="ar-SA"/>
        </w:rPr>
        <w:t>-nitroso</w:t>
      </w:r>
      <w:r w:rsidRPr="00C0277B">
        <w:rPr>
          <w:lang w:val="en-US" w:bidi="ar-SA"/>
        </w:rPr>
        <w:t xml:space="preserve">guanidine (WP2uvrA, TA100 and TA1535), </w:t>
      </w:r>
      <w:r w:rsidR="00EE05FF" w:rsidRPr="00C0277B">
        <w:rPr>
          <w:lang w:val="en-US" w:bidi="ar-SA"/>
        </w:rPr>
        <w:t>ICR-191</w:t>
      </w:r>
      <w:r w:rsidRPr="00C0277B">
        <w:rPr>
          <w:lang w:val="en-US" w:bidi="ar-SA"/>
        </w:rPr>
        <w:t xml:space="preserve"> (TA1537) and </w:t>
      </w:r>
      <w:r w:rsidR="00EE05FF" w:rsidRPr="00C0277B">
        <w:rPr>
          <w:lang w:val="en-US" w:bidi="ar-SA"/>
        </w:rPr>
        <w:t>2-nitrofluorene</w:t>
      </w:r>
      <w:r w:rsidRPr="00C0277B">
        <w:rPr>
          <w:lang w:val="en-US" w:bidi="ar-SA"/>
        </w:rPr>
        <w:t xml:space="preserve"> (TA98). </w:t>
      </w:r>
      <w:r w:rsidR="00EE05FF" w:rsidRPr="00C0277B">
        <w:rPr>
          <w:lang w:val="en-US" w:bidi="ar-SA"/>
        </w:rPr>
        <w:t>The positive control</w:t>
      </w:r>
      <w:r w:rsidRPr="00C0277B">
        <w:rPr>
          <w:lang w:val="en-US" w:bidi="ar-SA"/>
        </w:rPr>
        <w:t xml:space="preserve"> in the presence of metabolic activation </w:t>
      </w:r>
      <w:r w:rsidR="00EE05FF" w:rsidRPr="00C0277B">
        <w:rPr>
          <w:lang w:val="en-US" w:bidi="ar-SA"/>
        </w:rPr>
        <w:t>was</w:t>
      </w:r>
      <w:r w:rsidRPr="00C0277B">
        <w:rPr>
          <w:lang w:val="en-US" w:bidi="ar-SA"/>
        </w:rPr>
        <w:t xml:space="preserve"> 2-aminoanthracene (</w:t>
      </w:r>
      <w:r w:rsidR="00EE05FF" w:rsidRPr="00C0277B">
        <w:rPr>
          <w:lang w:val="en-US" w:bidi="ar-SA"/>
        </w:rPr>
        <w:t>all strains</w:t>
      </w:r>
      <w:r w:rsidRPr="00C0277B">
        <w:rPr>
          <w:lang w:val="en-US" w:bidi="ar-SA"/>
        </w:rPr>
        <w:t xml:space="preserve">). </w:t>
      </w:r>
      <w:r w:rsidR="00EE05FF" w:rsidRPr="00C0277B">
        <w:rPr>
          <w:lang w:val="en-US" w:bidi="ar-SA"/>
        </w:rPr>
        <w:t>Distilled</w:t>
      </w:r>
      <w:r w:rsidRPr="00C0277B">
        <w:rPr>
          <w:lang w:val="en-US" w:bidi="ar-SA"/>
        </w:rPr>
        <w:t xml:space="preserve"> water was used as the vehicle control. </w:t>
      </w:r>
    </w:p>
    <w:p w14:paraId="1FA9AD06" w14:textId="77777777" w:rsidR="00A92B6C" w:rsidRPr="00C0277B" w:rsidRDefault="00A92B6C" w:rsidP="00A92B6C">
      <w:pPr>
        <w:rPr>
          <w:lang w:val="en-US" w:bidi="ar-SA"/>
        </w:rPr>
      </w:pPr>
    </w:p>
    <w:p w14:paraId="4B5F9366" w14:textId="3D923BE2" w:rsidR="00A92B6C" w:rsidRPr="00C0277B" w:rsidRDefault="00A92B6C" w:rsidP="00A92B6C">
      <w:pPr>
        <w:rPr>
          <w:lang w:val="en-US" w:bidi="ar-SA"/>
        </w:rPr>
      </w:pPr>
      <w:r w:rsidRPr="00C0277B">
        <w:rPr>
          <w:lang w:val="en-AU" w:bidi="ar-SA"/>
        </w:rPr>
        <w:t>No concentration-related increases in revertant colonies were observed in cultures treated with t</w:t>
      </w:r>
      <w:r w:rsidRPr="00C0277B">
        <w:rPr>
          <w:lang w:val="en-AU" w:eastAsia="en-AU" w:bidi="ar-SA"/>
        </w:rPr>
        <w:t>he test item</w:t>
      </w:r>
      <w:r w:rsidR="005F2545" w:rsidRPr="00C0277B">
        <w:rPr>
          <w:lang w:val="en-AU" w:eastAsia="en-AU" w:bidi="ar-SA"/>
        </w:rPr>
        <w:t>,</w:t>
      </w:r>
      <w:r w:rsidR="001F2E30" w:rsidRPr="00C0277B">
        <w:rPr>
          <w:lang w:val="en-AU" w:bidi="ar-SA"/>
        </w:rPr>
        <w:t xml:space="preserve"> relative to vehicle controls</w:t>
      </w:r>
      <w:r w:rsidRPr="00C0277B">
        <w:rPr>
          <w:lang w:val="en-AU" w:eastAsia="en-AU" w:bidi="ar-SA"/>
        </w:rPr>
        <w:t xml:space="preserve">, </w:t>
      </w:r>
      <w:r w:rsidRPr="00C0277B">
        <w:rPr>
          <w:lang w:val="en-AU" w:bidi="ar-SA"/>
        </w:rPr>
        <w:t>with or without metabolic activation. All positive control treatments showed the anticipated increases in mutagenic activity demonstrating the validity of the assay.</w:t>
      </w:r>
      <w:r w:rsidRPr="00C0277B">
        <w:rPr>
          <w:lang w:val="en-US" w:bidi="ar-SA"/>
        </w:rPr>
        <w:t xml:space="preserve"> It was concluded that alpha-amylase test item was not mutagenic under the conditions of this test. </w:t>
      </w:r>
    </w:p>
    <w:p w14:paraId="2CA69030" w14:textId="77777777" w:rsidR="00A92B6C" w:rsidRPr="00C0277B" w:rsidRDefault="00A92B6C" w:rsidP="00A92B6C">
      <w:pPr>
        <w:rPr>
          <w:highlight w:val="yellow"/>
          <w:lang w:val="en-US" w:bidi="ar-SA"/>
        </w:rPr>
      </w:pPr>
    </w:p>
    <w:p w14:paraId="0CF65D01" w14:textId="25B7CC59" w:rsidR="00A92B6C" w:rsidRPr="00C0277B" w:rsidRDefault="00A92B6C" w:rsidP="00A92B6C">
      <w:pPr>
        <w:rPr>
          <w:i/>
          <w:u w:val="single"/>
          <w:lang w:val="en-US" w:bidi="ar-SA"/>
        </w:rPr>
      </w:pPr>
      <w:r w:rsidRPr="00C0277B">
        <w:rPr>
          <w:i/>
          <w:u w:val="single"/>
          <w:lang w:val="en-US" w:bidi="ar-SA"/>
        </w:rPr>
        <w:t>In vitro mammalian chromosomal aberration test (</w:t>
      </w:r>
      <w:r w:rsidR="00F95788" w:rsidRPr="00C0277B">
        <w:rPr>
          <w:i/>
          <w:u w:val="single"/>
          <w:lang w:val="en-US" w:bidi="ar-SA"/>
        </w:rPr>
        <w:t>DuPont Haskell Global Centers</w:t>
      </w:r>
      <w:r w:rsidRPr="00C0277B">
        <w:rPr>
          <w:i/>
          <w:u w:val="single"/>
          <w:lang w:val="en-US" w:bidi="ar-SA"/>
        </w:rPr>
        <w:t>, 201</w:t>
      </w:r>
      <w:r w:rsidR="00F95788" w:rsidRPr="00C0277B">
        <w:rPr>
          <w:i/>
          <w:u w:val="single"/>
          <w:lang w:val="en-US" w:bidi="ar-SA"/>
        </w:rPr>
        <w:t>4</w:t>
      </w:r>
      <w:r w:rsidRPr="00C0277B">
        <w:rPr>
          <w:i/>
          <w:u w:val="single"/>
          <w:lang w:val="en-US" w:bidi="ar-SA"/>
        </w:rPr>
        <w:t xml:space="preserve">). Regulatory status: GLP; conducted according to OECD </w:t>
      </w:r>
      <w:r w:rsidR="00F95788" w:rsidRPr="00C0277B">
        <w:rPr>
          <w:i/>
          <w:u w:val="single"/>
          <w:lang w:val="en-US" w:bidi="ar-SA"/>
        </w:rPr>
        <w:t>TG</w:t>
      </w:r>
      <w:r w:rsidRPr="00C0277B">
        <w:rPr>
          <w:i/>
          <w:u w:val="single"/>
          <w:lang w:val="en-US" w:bidi="ar-SA"/>
        </w:rPr>
        <w:t xml:space="preserve"> 473.</w:t>
      </w:r>
    </w:p>
    <w:p w14:paraId="625AA17D" w14:textId="77777777" w:rsidR="00A92B6C" w:rsidRPr="00C0277B" w:rsidRDefault="00A92B6C" w:rsidP="00A92B6C">
      <w:pPr>
        <w:rPr>
          <w:lang w:val="en-US" w:bidi="ar-SA"/>
        </w:rPr>
      </w:pPr>
    </w:p>
    <w:p w14:paraId="49F2261B" w14:textId="7AA52FBA" w:rsidR="00A92B6C" w:rsidRPr="00C0277B" w:rsidRDefault="00A92B6C" w:rsidP="00A92B6C">
      <w:pPr>
        <w:rPr>
          <w:lang w:val="en-US" w:bidi="ar-SA"/>
        </w:rPr>
      </w:pPr>
      <w:r w:rsidRPr="00C0277B">
        <w:rPr>
          <w:lang w:val="en-US" w:bidi="ar-SA"/>
        </w:rPr>
        <w:t xml:space="preserve">The potential of </w:t>
      </w:r>
      <w:r w:rsidRPr="00C0277B">
        <w:rPr>
          <w:rFonts w:cs="Arial"/>
          <w:lang w:val="en-US" w:bidi="ar-SA"/>
        </w:rPr>
        <w:t>alpha-amylase</w:t>
      </w:r>
      <w:r w:rsidRPr="00C0277B">
        <w:rPr>
          <w:lang w:val="en-US" w:bidi="ar-SA"/>
        </w:rPr>
        <w:t xml:space="preserve"> to cause chromosomal aberrations in mammalian cells was tested using</w:t>
      </w:r>
      <w:r w:rsidR="00293EC0" w:rsidRPr="00C0277B">
        <w:rPr>
          <w:lang w:val="en-US" w:bidi="ar-SA"/>
        </w:rPr>
        <w:t xml:space="preserve"> human </w:t>
      </w:r>
      <w:r w:rsidRPr="00C0277B">
        <w:rPr>
          <w:lang w:val="en-US" w:bidi="ar-SA"/>
        </w:rPr>
        <w:t>lymphocytes isolated from peripheral blood, collected from a healthy volunteer. Treatment with the alpha-amylase test item was either a 4 hour pulse exposure with or without S9, followed by a</w:t>
      </w:r>
      <w:r w:rsidR="005762DD" w:rsidRPr="00C0277B">
        <w:rPr>
          <w:lang w:val="en-US" w:bidi="ar-SA"/>
        </w:rPr>
        <w:t>n</w:t>
      </w:r>
      <w:r w:rsidRPr="00C0277B">
        <w:rPr>
          <w:lang w:val="en-US" w:bidi="ar-SA"/>
        </w:rPr>
        <w:t xml:space="preserve"> </w:t>
      </w:r>
      <w:r w:rsidR="005762DD" w:rsidRPr="00C0277B">
        <w:rPr>
          <w:lang w:val="en-US" w:bidi="ar-SA"/>
        </w:rPr>
        <w:t>18</w:t>
      </w:r>
      <w:r w:rsidRPr="00C0277B">
        <w:rPr>
          <w:lang w:val="en-US" w:bidi="ar-SA"/>
        </w:rPr>
        <w:t xml:space="preserve"> hour recovery;</w:t>
      </w:r>
      <w:r w:rsidR="00F95788" w:rsidRPr="00C0277B">
        <w:rPr>
          <w:lang w:val="en-US" w:bidi="ar-SA"/>
        </w:rPr>
        <w:t xml:space="preserve"> or 22</w:t>
      </w:r>
      <w:r w:rsidRPr="00C0277B">
        <w:rPr>
          <w:lang w:val="en-US" w:bidi="ar-SA"/>
        </w:rPr>
        <w:t xml:space="preserve"> hours of continuous exposure</w:t>
      </w:r>
      <w:r w:rsidR="00F95788" w:rsidRPr="00C0277B">
        <w:rPr>
          <w:lang w:val="en-US" w:bidi="ar-SA"/>
        </w:rPr>
        <w:t xml:space="preserve"> without S9</w:t>
      </w:r>
      <w:r w:rsidRPr="00C0277B">
        <w:rPr>
          <w:lang w:val="en-US" w:bidi="ar-SA"/>
        </w:rPr>
        <w:t xml:space="preserve">. </w:t>
      </w:r>
      <w:r w:rsidRPr="00C0277B">
        <w:rPr>
          <w:lang w:val="en-AU" w:bidi="ar-SA"/>
        </w:rPr>
        <w:t>Positive control assays were conducted in parallel using mitomycin C in the absence of S9 and cyclophosphamide in the short-term treatment with S9.</w:t>
      </w:r>
    </w:p>
    <w:p w14:paraId="69ACB0A6" w14:textId="77777777" w:rsidR="00A92B6C" w:rsidRPr="00C0277B" w:rsidRDefault="00A92B6C" w:rsidP="00A92B6C">
      <w:pPr>
        <w:rPr>
          <w:highlight w:val="yellow"/>
          <w:lang w:val="en-US" w:bidi="ar-SA"/>
        </w:rPr>
      </w:pPr>
    </w:p>
    <w:p w14:paraId="2101BE27" w14:textId="441B6C69" w:rsidR="00A92B6C" w:rsidRPr="00C0277B" w:rsidRDefault="00A92B6C" w:rsidP="00A92B6C">
      <w:pPr>
        <w:rPr>
          <w:lang w:val="en-US" w:bidi="ar-SA"/>
        </w:rPr>
      </w:pPr>
      <w:r w:rsidRPr="00C0277B">
        <w:rPr>
          <w:lang w:val="en-AU" w:bidi="ar-SA"/>
        </w:rPr>
        <w:t>As a result</w:t>
      </w:r>
      <w:r w:rsidR="00293EC0" w:rsidRPr="00C0277B">
        <w:rPr>
          <w:lang w:val="en-AU" w:bidi="ar-SA"/>
        </w:rPr>
        <w:t xml:space="preserve"> of dose-selection experiments</w:t>
      </w:r>
      <w:r w:rsidRPr="00C0277B">
        <w:rPr>
          <w:lang w:val="en-AU" w:bidi="ar-SA"/>
        </w:rPr>
        <w:t xml:space="preserve">, the </w:t>
      </w:r>
      <w:r w:rsidR="00295C44" w:rsidRPr="00C0277B">
        <w:rPr>
          <w:lang w:val="en-AU" w:bidi="ar-SA"/>
        </w:rPr>
        <w:t>dose range</w:t>
      </w:r>
      <w:r w:rsidRPr="00C0277B">
        <w:rPr>
          <w:lang w:val="en-AU" w:bidi="ar-SA"/>
        </w:rPr>
        <w:t xml:space="preserve"> for the 24</w:t>
      </w:r>
      <w:r w:rsidR="00233ADC" w:rsidRPr="00C0277B">
        <w:rPr>
          <w:lang w:val="en-AU" w:bidi="ar-SA"/>
        </w:rPr>
        <w:t>-</w:t>
      </w:r>
      <w:r w:rsidRPr="00C0277B">
        <w:rPr>
          <w:lang w:val="en-AU" w:bidi="ar-SA"/>
        </w:rPr>
        <w:t xml:space="preserve">hour continuous treatment </w:t>
      </w:r>
      <w:r w:rsidR="00293EC0" w:rsidRPr="00C0277B">
        <w:rPr>
          <w:lang w:val="en-AU" w:bidi="ar-SA"/>
        </w:rPr>
        <w:t>was adjusted to 10</w:t>
      </w:r>
      <w:r w:rsidR="005F2545" w:rsidRPr="00C0277B">
        <w:rPr>
          <w:lang w:val="en-AU" w:bidi="ar-SA"/>
        </w:rPr>
        <w:t xml:space="preserve"> – </w:t>
      </w:r>
      <w:r w:rsidRPr="00C0277B">
        <w:rPr>
          <w:lang w:val="en-AU" w:bidi="ar-SA"/>
        </w:rPr>
        <w:t xml:space="preserve">100 </w:t>
      </w:r>
      <w:r w:rsidRPr="00C0277B">
        <w:rPr>
          <w:rFonts w:cs="Arial"/>
          <w:lang w:val="en-AU" w:bidi="ar-SA"/>
        </w:rPr>
        <w:t>µ</w:t>
      </w:r>
      <w:r w:rsidRPr="00C0277B">
        <w:rPr>
          <w:lang w:val="en-AU" w:bidi="ar-SA"/>
        </w:rPr>
        <w:t>g/mL total protein</w:t>
      </w:r>
      <w:r w:rsidR="00293EC0" w:rsidRPr="00C0277B">
        <w:rPr>
          <w:lang w:val="en-AU" w:bidi="ar-SA"/>
        </w:rPr>
        <w:t xml:space="preserve"> to </w:t>
      </w:r>
      <w:r w:rsidR="00295C44" w:rsidRPr="00C0277B">
        <w:rPr>
          <w:lang w:val="en-AU" w:bidi="ar-SA"/>
        </w:rPr>
        <w:t>keep</w:t>
      </w:r>
      <w:r w:rsidR="00293EC0" w:rsidRPr="00C0277B">
        <w:rPr>
          <w:lang w:val="en-AU" w:bidi="ar-SA"/>
        </w:rPr>
        <w:t xml:space="preserve"> the mitotic index </w:t>
      </w:r>
      <w:r w:rsidR="00295C44" w:rsidRPr="00C0277B">
        <w:rPr>
          <w:lang w:val="en-AU" w:bidi="ar-SA"/>
        </w:rPr>
        <w:t>above</w:t>
      </w:r>
      <w:r w:rsidR="00293EC0" w:rsidRPr="00C0277B">
        <w:rPr>
          <w:lang w:val="en-AU" w:bidi="ar-SA"/>
        </w:rPr>
        <w:t xml:space="preserve"> 50% </w:t>
      </w:r>
      <w:r w:rsidR="00F9666C" w:rsidRPr="00C0277B">
        <w:rPr>
          <w:lang w:val="en-AU" w:bidi="ar-SA"/>
        </w:rPr>
        <w:t>at the high dose treatments</w:t>
      </w:r>
      <w:r w:rsidR="00293EC0" w:rsidRPr="00C0277B">
        <w:rPr>
          <w:lang w:val="en-AU" w:bidi="ar-SA"/>
        </w:rPr>
        <w:t>. T</w:t>
      </w:r>
      <w:r w:rsidRPr="00C0277B">
        <w:rPr>
          <w:lang w:val="en-AU" w:bidi="ar-SA"/>
        </w:rPr>
        <w:t xml:space="preserve">he </w:t>
      </w:r>
      <w:r w:rsidRPr="00C0277B">
        <w:rPr>
          <w:lang w:val="en-US" w:bidi="ar-SA"/>
        </w:rPr>
        <w:t>dose range used for the 4 hour treatments with and without S9 was retained</w:t>
      </w:r>
      <w:r w:rsidR="00293EC0" w:rsidRPr="00C0277B">
        <w:rPr>
          <w:lang w:val="en-US" w:bidi="ar-SA"/>
        </w:rPr>
        <w:t xml:space="preserve"> at 250</w:t>
      </w:r>
      <w:r w:rsidR="005F2545" w:rsidRPr="00C0277B">
        <w:rPr>
          <w:lang w:val="en-US" w:bidi="ar-SA"/>
        </w:rPr>
        <w:t xml:space="preserve"> </w:t>
      </w:r>
      <w:r w:rsidR="005F2545" w:rsidRPr="00C0277B">
        <w:rPr>
          <w:rFonts w:cs="Arial"/>
          <w:lang w:val="en-US" w:bidi="ar-SA"/>
        </w:rPr>
        <w:t xml:space="preserve">– </w:t>
      </w:r>
      <w:r w:rsidRPr="00C0277B">
        <w:rPr>
          <w:lang w:val="en-US" w:bidi="ar-SA"/>
        </w:rPr>
        <w:t>5000 µg/mL total protein.</w:t>
      </w:r>
    </w:p>
    <w:p w14:paraId="5AE89C95" w14:textId="77777777" w:rsidR="00A92B6C" w:rsidRPr="00C0277B" w:rsidRDefault="00A92B6C" w:rsidP="00A92B6C">
      <w:pPr>
        <w:rPr>
          <w:lang w:val="en-US" w:bidi="ar-SA"/>
        </w:rPr>
      </w:pPr>
    </w:p>
    <w:p w14:paraId="28CBE5BC" w14:textId="52CDA136" w:rsidR="00A92B6C" w:rsidRPr="00293EC0" w:rsidRDefault="00A92B6C" w:rsidP="00A92B6C">
      <w:pPr>
        <w:rPr>
          <w:lang w:val="en-US" w:bidi="ar-SA"/>
        </w:rPr>
      </w:pPr>
      <w:r w:rsidRPr="00C0277B">
        <w:rPr>
          <w:lang w:val="en-US" w:bidi="ar-SA"/>
        </w:rPr>
        <w:t>There were no treatment related increases in chromosomal aberration</w:t>
      </w:r>
      <w:r w:rsidR="00D760D5" w:rsidRPr="00C0277B">
        <w:rPr>
          <w:lang w:val="en-US" w:bidi="ar-SA"/>
        </w:rPr>
        <w:t>s</w:t>
      </w:r>
      <w:r w:rsidRPr="00C0277B">
        <w:rPr>
          <w:lang w:val="en-US" w:bidi="ar-SA"/>
        </w:rPr>
        <w:t xml:space="preserve"> observed in </w:t>
      </w:r>
      <w:r w:rsidRPr="00293EC0">
        <w:rPr>
          <w:lang w:val="en-US" w:bidi="ar-SA"/>
        </w:rPr>
        <w:lastRenderedPageBreak/>
        <w:t>peripheral blood lymphocytes following exposure to the alpha-amylase test item, relative to the vehicle controls, under any of the conditions tested. The positive controls demonstrated a statistically significant increase in chromosomal aberration</w:t>
      </w:r>
      <w:r w:rsidR="00D760D5">
        <w:rPr>
          <w:lang w:val="en-US" w:bidi="ar-SA"/>
        </w:rPr>
        <w:t>s</w:t>
      </w:r>
      <w:r w:rsidRPr="00293EC0">
        <w:rPr>
          <w:lang w:val="en-US" w:bidi="ar-SA"/>
        </w:rPr>
        <w:t>, validating the sensitivity of the experimental methodology. It was concluded that alpha-amylase did not cause chromosome aberrations in peripheral blood lymphocytes, under the conditions of the study.</w:t>
      </w:r>
    </w:p>
    <w:p w14:paraId="31391C76" w14:textId="577B094C" w:rsidR="00A92B6C" w:rsidRPr="00DC06C8" w:rsidRDefault="00A92B6C" w:rsidP="00A92B6C">
      <w:pPr>
        <w:keepNext/>
        <w:spacing w:before="240" w:after="240"/>
        <w:ind w:left="567" w:hanging="567"/>
        <w:outlineLvl w:val="2"/>
        <w:rPr>
          <w:b/>
          <w:bCs/>
          <w:lang w:eastAsia="en-AU" w:bidi="ar-SA"/>
        </w:rPr>
      </w:pPr>
      <w:bookmarkStart w:id="56" w:name="_Toc67559447"/>
      <w:r w:rsidRPr="00DC06C8">
        <w:rPr>
          <w:b/>
          <w:bCs/>
          <w:lang w:eastAsia="en-AU" w:bidi="ar-SA"/>
        </w:rPr>
        <w:t>3.</w:t>
      </w:r>
      <w:r>
        <w:rPr>
          <w:b/>
          <w:bCs/>
          <w:lang w:eastAsia="en-AU" w:bidi="ar-SA"/>
        </w:rPr>
        <w:t>3</w:t>
      </w:r>
      <w:r w:rsidRPr="00DC06C8">
        <w:rPr>
          <w:b/>
          <w:bCs/>
          <w:lang w:eastAsia="en-AU" w:bidi="ar-SA"/>
        </w:rPr>
        <w:t>.</w:t>
      </w:r>
      <w:r w:rsidR="00C51990">
        <w:rPr>
          <w:b/>
          <w:bCs/>
          <w:lang w:eastAsia="en-AU" w:bidi="ar-SA"/>
        </w:rPr>
        <w:t>4</w:t>
      </w:r>
      <w:r w:rsidRPr="00DC06C8">
        <w:rPr>
          <w:b/>
          <w:bCs/>
          <w:lang w:eastAsia="en-AU" w:bidi="ar-SA"/>
        </w:rPr>
        <w:tab/>
        <w:t>Potential for allergenicity</w:t>
      </w:r>
      <w:bookmarkEnd w:id="56"/>
      <w:r w:rsidRPr="00DC06C8">
        <w:rPr>
          <w:b/>
          <w:bCs/>
          <w:lang w:eastAsia="en-AU" w:bidi="ar-SA"/>
        </w:rPr>
        <w:t xml:space="preserve"> </w:t>
      </w:r>
    </w:p>
    <w:p w14:paraId="7705B96C" w14:textId="1F6800B0" w:rsidR="00A92B6C" w:rsidRPr="006D6FA5" w:rsidRDefault="00A92B6C" w:rsidP="00A92B6C">
      <w:pPr>
        <w:rPr>
          <w:lang w:eastAsia="en-AU" w:bidi="ar-SA"/>
        </w:rPr>
      </w:pPr>
      <w:r w:rsidRPr="006D6FA5">
        <w:rPr>
          <w:lang w:bidi="ar-SA"/>
        </w:rPr>
        <w:t xml:space="preserve">A FASTA search was performed using the mature amino acid sequence of </w:t>
      </w:r>
      <w:r w:rsidR="006D6FA5" w:rsidRPr="006D6FA5">
        <w:rPr>
          <w:i/>
          <w:lang w:eastAsia="en-AU" w:bidi="ar-SA"/>
        </w:rPr>
        <w:t>Cytophaga</w:t>
      </w:r>
      <w:r w:rsidR="006D6FA5" w:rsidRPr="006D6FA5">
        <w:rPr>
          <w:lang w:eastAsia="en-AU" w:bidi="ar-SA"/>
        </w:rPr>
        <w:t xml:space="preserve"> sp.</w:t>
      </w:r>
      <w:r w:rsidR="006D6FA5" w:rsidRPr="001264D3">
        <w:rPr>
          <w:lang w:eastAsia="en-AU" w:bidi="ar-SA"/>
        </w:rPr>
        <w:t xml:space="preserve"> alpha-amylase </w:t>
      </w:r>
      <w:r w:rsidRPr="006D6FA5">
        <w:rPr>
          <w:lang w:bidi="ar-SA"/>
        </w:rPr>
        <w:t xml:space="preserve">using the </w:t>
      </w:r>
      <w:hyperlink r:id="rId24" w:history="1">
        <w:r w:rsidRPr="006D6FA5">
          <w:rPr>
            <w:rStyle w:val="Hyperlink"/>
            <w:color w:val="auto"/>
            <w:lang w:bidi="ar-SA"/>
          </w:rPr>
          <w:t>AllergenOnline</w:t>
        </w:r>
      </w:hyperlink>
      <w:r w:rsidRPr="006D6FA5">
        <w:rPr>
          <w:rStyle w:val="FootnoteReference"/>
          <w:lang w:bidi="ar-SA"/>
        </w:rPr>
        <w:footnoteReference w:id="8"/>
      </w:r>
      <w:r w:rsidRPr="006D6FA5">
        <w:rPr>
          <w:lang w:bidi="ar-SA"/>
        </w:rPr>
        <w:t xml:space="preserve"> database (</w:t>
      </w:r>
      <w:r w:rsidRPr="006D6FA5">
        <w:rPr>
          <w:lang w:val="en-AU" w:eastAsia="en-AU"/>
        </w:rPr>
        <w:t xml:space="preserve">queried in </w:t>
      </w:r>
      <w:r w:rsidR="006D6FA5" w:rsidRPr="006D6FA5">
        <w:rPr>
          <w:lang w:val="en-AU" w:eastAsia="en-AU"/>
        </w:rPr>
        <w:t>February</w:t>
      </w:r>
      <w:r w:rsidRPr="006D6FA5">
        <w:rPr>
          <w:lang w:val="en-AU" w:eastAsia="en-AU"/>
        </w:rPr>
        <w:t xml:space="preserve"> 20</w:t>
      </w:r>
      <w:r w:rsidR="006D6FA5" w:rsidRPr="006D6FA5">
        <w:rPr>
          <w:lang w:val="en-AU" w:eastAsia="en-AU"/>
        </w:rPr>
        <w:t>20</w:t>
      </w:r>
      <w:r w:rsidRPr="006D6FA5">
        <w:rPr>
          <w:lang w:val="en-AU" w:eastAsia="en-AU"/>
        </w:rPr>
        <w:t>)</w:t>
      </w:r>
      <w:r w:rsidRPr="006D6FA5">
        <w:rPr>
          <w:lang w:eastAsia="en-AU" w:bidi="ar-SA"/>
        </w:rPr>
        <w:t xml:space="preserve"> </w:t>
      </w:r>
      <w:r w:rsidRPr="006D6FA5">
        <w:rPr>
          <w:lang w:eastAsia="en-AU"/>
        </w:rPr>
        <w:t>using t</w:t>
      </w:r>
      <w:r w:rsidRPr="006D6FA5">
        <w:rPr>
          <w:lang w:eastAsia="en-AU" w:bidi="ar-SA"/>
        </w:rPr>
        <w:t>hree sequence alignments: full length protein (E-value 0.1</w:t>
      </w:r>
      <w:r w:rsidR="006D6FA5" w:rsidRPr="006D6FA5">
        <w:rPr>
          <w:lang w:eastAsia="en-AU" w:bidi="ar-SA"/>
        </w:rPr>
        <w:t xml:space="preserve"> and &gt;35% identity</w:t>
      </w:r>
      <w:r w:rsidRPr="006D6FA5">
        <w:rPr>
          <w:lang w:eastAsia="en-AU" w:bidi="ar-SA"/>
        </w:rPr>
        <w:t>), an 80</w:t>
      </w:r>
      <w:r w:rsidR="00233ADC">
        <w:rPr>
          <w:lang w:eastAsia="en-AU" w:bidi="ar-SA"/>
        </w:rPr>
        <w:t>-</w:t>
      </w:r>
      <w:r w:rsidRPr="006D6FA5">
        <w:rPr>
          <w:lang w:eastAsia="en-AU" w:bidi="ar-SA"/>
        </w:rPr>
        <w:t xml:space="preserve">mer sliding window (&gt;35% </w:t>
      </w:r>
      <w:r w:rsidR="006D6FA5" w:rsidRPr="006D6FA5">
        <w:rPr>
          <w:lang w:eastAsia="en-AU" w:bidi="ar-SA"/>
        </w:rPr>
        <w:t>identity</w:t>
      </w:r>
      <w:r w:rsidRPr="006D6FA5">
        <w:rPr>
          <w:lang w:eastAsia="en-AU" w:bidi="ar-SA"/>
        </w:rPr>
        <w:t>) and an 8</w:t>
      </w:r>
      <w:r w:rsidR="00233ADC">
        <w:rPr>
          <w:lang w:eastAsia="en-AU" w:bidi="ar-SA"/>
        </w:rPr>
        <w:t>-</w:t>
      </w:r>
      <w:r w:rsidRPr="006D6FA5">
        <w:rPr>
          <w:lang w:eastAsia="en-AU" w:bidi="ar-SA"/>
        </w:rPr>
        <w:t xml:space="preserve">mer sliding window search (100% </w:t>
      </w:r>
      <w:r w:rsidR="006D6FA5" w:rsidRPr="006D6FA5">
        <w:rPr>
          <w:lang w:eastAsia="en-AU" w:bidi="ar-SA"/>
        </w:rPr>
        <w:t>identity</w:t>
      </w:r>
      <w:r w:rsidRPr="006D6FA5">
        <w:rPr>
          <w:lang w:eastAsia="en-AU" w:bidi="ar-SA"/>
        </w:rPr>
        <w:t>).</w:t>
      </w:r>
      <w:r w:rsidR="005F2545">
        <w:rPr>
          <w:lang w:eastAsia="en-AU" w:bidi="ar-SA"/>
        </w:rPr>
        <w:t xml:space="preserve"> No sequence matches to known allergens</w:t>
      </w:r>
      <w:r w:rsidR="005F2545" w:rsidRPr="005F2545">
        <w:rPr>
          <w:lang w:eastAsia="en-AU" w:bidi="ar-SA"/>
        </w:rPr>
        <w:t xml:space="preserve"> </w:t>
      </w:r>
      <w:r w:rsidR="005F2545">
        <w:rPr>
          <w:lang w:eastAsia="en-AU" w:bidi="ar-SA"/>
        </w:rPr>
        <w:t>were identified</w:t>
      </w:r>
      <w:r w:rsidR="005F2545" w:rsidRPr="005F2545">
        <w:rPr>
          <w:lang w:eastAsia="en-AU" w:bidi="ar-SA"/>
        </w:rPr>
        <w:t xml:space="preserve"> </w:t>
      </w:r>
      <w:r w:rsidR="005F2545">
        <w:rPr>
          <w:lang w:eastAsia="en-AU" w:bidi="ar-SA"/>
        </w:rPr>
        <w:t>using these parameters.</w:t>
      </w:r>
    </w:p>
    <w:p w14:paraId="31A76D48" w14:textId="77777777" w:rsidR="00A92B6C" w:rsidRPr="00C0277B" w:rsidRDefault="00A92B6C" w:rsidP="00A92B6C">
      <w:pPr>
        <w:rPr>
          <w:lang w:eastAsia="en-AU" w:bidi="ar-SA"/>
        </w:rPr>
      </w:pPr>
    </w:p>
    <w:p w14:paraId="5CF9DF05" w14:textId="520F68DF" w:rsidR="00A92B6C" w:rsidRPr="006D6FA5" w:rsidRDefault="00A92B6C" w:rsidP="00A92B6C">
      <w:pPr>
        <w:rPr>
          <w:lang w:eastAsia="en-AU"/>
        </w:rPr>
      </w:pPr>
      <w:r w:rsidRPr="00F95788">
        <w:rPr>
          <w:lang w:eastAsia="en-AU"/>
        </w:rPr>
        <w:t>Respiratory sensitisation of occupationally exposed individuals to some food enzyme processing aids, such as alpha-amylase</w:t>
      </w:r>
      <w:r w:rsidR="006D6FA5">
        <w:rPr>
          <w:lang w:eastAsia="en-AU"/>
        </w:rPr>
        <w:t xml:space="preserve">s from other species </w:t>
      </w:r>
      <w:r w:rsidRPr="00F95788">
        <w:rPr>
          <w:lang w:eastAsia="en-AU"/>
        </w:rPr>
        <w:t>ha</w:t>
      </w:r>
      <w:r w:rsidR="006D6FA5">
        <w:rPr>
          <w:lang w:eastAsia="en-AU"/>
        </w:rPr>
        <w:t>ve</w:t>
      </w:r>
      <w:r w:rsidRPr="00F95788">
        <w:rPr>
          <w:lang w:eastAsia="en-AU"/>
        </w:rPr>
        <w:t xml:space="preserve"> been reported (Baur &amp; Posch, 1998). However, food enzyme processing aids that are </w:t>
      </w:r>
      <w:r w:rsidRPr="00F95788">
        <w:rPr>
          <w:lang w:eastAsia="en-AU" w:bidi="ar-SA"/>
        </w:rPr>
        <w:t xml:space="preserve">respiratory allergens are not usually food allergens (Poulsen 2004, Bindslev-Jensen et al. 2006), and there are no reports </w:t>
      </w:r>
      <w:r w:rsidRPr="00F95788">
        <w:rPr>
          <w:lang w:eastAsia="en-AU"/>
        </w:rPr>
        <w:t xml:space="preserve">of </w:t>
      </w:r>
      <w:r w:rsidRPr="006D6FA5">
        <w:rPr>
          <w:lang w:eastAsia="en-AU"/>
        </w:rPr>
        <w:t xml:space="preserve">sensitisation to </w:t>
      </w:r>
      <w:r w:rsidR="006D6FA5" w:rsidRPr="006D6FA5">
        <w:rPr>
          <w:i/>
          <w:lang w:eastAsia="en-AU" w:bidi="ar-SA"/>
        </w:rPr>
        <w:t>Cytophaga</w:t>
      </w:r>
      <w:r w:rsidR="006D6FA5" w:rsidRPr="006D6FA5">
        <w:rPr>
          <w:lang w:eastAsia="en-AU" w:bidi="ar-SA"/>
        </w:rPr>
        <w:t xml:space="preserve"> sp. alpha-amylase </w:t>
      </w:r>
      <w:r w:rsidRPr="006D6FA5">
        <w:rPr>
          <w:lang w:eastAsia="en-AU"/>
        </w:rPr>
        <w:t>in the scientific literature.</w:t>
      </w:r>
    </w:p>
    <w:p w14:paraId="78EDAC50" w14:textId="77777777" w:rsidR="00A92B6C" w:rsidRPr="006D6FA5" w:rsidRDefault="00A92B6C" w:rsidP="00A92B6C">
      <w:pPr>
        <w:rPr>
          <w:lang w:eastAsia="en-AU"/>
        </w:rPr>
      </w:pPr>
    </w:p>
    <w:p w14:paraId="50F86FAC" w14:textId="2513112B" w:rsidR="00A92B6C" w:rsidRDefault="00A92B6C" w:rsidP="00A92B6C">
      <w:pPr>
        <w:rPr>
          <w:lang w:eastAsia="en-AU"/>
        </w:rPr>
      </w:pPr>
      <w:r w:rsidRPr="006D6FA5">
        <w:rPr>
          <w:lang w:eastAsia="en-AU"/>
        </w:rPr>
        <w:t xml:space="preserve">It is concluded that the presence of </w:t>
      </w:r>
      <w:r w:rsidR="006D6FA5" w:rsidRPr="006D6FA5">
        <w:rPr>
          <w:i/>
          <w:lang w:eastAsia="en-AU" w:bidi="ar-SA"/>
        </w:rPr>
        <w:t>Cytophaga</w:t>
      </w:r>
      <w:r w:rsidR="006D6FA5" w:rsidRPr="006D6FA5">
        <w:rPr>
          <w:lang w:eastAsia="en-AU" w:bidi="ar-SA"/>
        </w:rPr>
        <w:t xml:space="preserve"> sp. alpha-amylase </w:t>
      </w:r>
      <w:r w:rsidRPr="006D6FA5">
        <w:rPr>
          <w:lang w:eastAsia="en-AU"/>
        </w:rPr>
        <w:t xml:space="preserve">produced using modified </w:t>
      </w:r>
      <w:r w:rsidR="006D6FA5" w:rsidRPr="006D6FA5">
        <w:rPr>
          <w:i/>
          <w:lang w:eastAsia="en-AU" w:bidi="ar-SA"/>
        </w:rPr>
        <w:t>B. licheniformis</w:t>
      </w:r>
      <w:r w:rsidR="006D6FA5" w:rsidRPr="006D6FA5">
        <w:rPr>
          <w:lang w:eastAsia="en-AU" w:bidi="ar-SA"/>
        </w:rPr>
        <w:t xml:space="preserve"> </w:t>
      </w:r>
      <w:r w:rsidR="00462C09">
        <w:rPr>
          <w:lang w:eastAsia="en-AU" w:bidi="ar-SA"/>
        </w:rPr>
        <w:t>JML1584</w:t>
      </w:r>
      <w:r w:rsidR="006D6FA5" w:rsidRPr="006D6FA5">
        <w:rPr>
          <w:i/>
          <w:lang w:eastAsia="en-AU" w:bidi="ar-SA"/>
        </w:rPr>
        <w:t xml:space="preserve"> </w:t>
      </w:r>
      <w:r w:rsidRPr="006D6FA5">
        <w:rPr>
          <w:lang w:eastAsia="en-AU"/>
        </w:rPr>
        <w:t>in food is unlikely to pose an allergenicity concern to consumers.</w:t>
      </w:r>
    </w:p>
    <w:p w14:paraId="50E61499" w14:textId="3464504C" w:rsidR="00C15A6C" w:rsidRDefault="00C15A6C" w:rsidP="009925D0">
      <w:pPr>
        <w:pStyle w:val="Heading3"/>
      </w:pPr>
      <w:r w:rsidRPr="00A92B6C">
        <w:t>3.</w:t>
      </w:r>
      <w:r w:rsidR="002471A6" w:rsidRPr="00A92B6C">
        <w:t>3</w:t>
      </w:r>
      <w:r w:rsidRPr="00A92B6C">
        <w:t>.</w:t>
      </w:r>
      <w:r w:rsidR="00C51990">
        <w:t>5</w:t>
      </w:r>
      <w:r w:rsidR="0035149D" w:rsidRPr="00A92B6C">
        <w:tab/>
      </w:r>
      <w:r w:rsidRPr="00A92B6C">
        <w:t>A</w:t>
      </w:r>
      <w:r w:rsidR="00455DD4" w:rsidRPr="00A92B6C">
        <w:t>ssessment</w:t>
      </w:r>
      <w:r w:rsidRPr="00A92B6C">
        <w:t>s by other regulatory agencies</w:t>
      </w:r>
    </w:p>
    <w:p w14:paraId="08A06AEB" w14:textId="5BECADD9" w:rsidR="00A15EA3" w:rsidRDefault="00AE0DF4" w:rsidP="00A15EA3">
      <w:pPr>
        <w:rPr>
          <w:lang w:eastAsia="en-AU" w:bidi="ar-SA"/>
        </w:rPr>
      </w:pPr>
      <w:r>
        <w:rPr>
          <w:lang w:eastAsia="en-AU" w:bidi="ar-SA"/>
        </w:rPr>
        <w:t xml:space="preserve">The applicant stated </w:t>
      </w:r>
      <w:r w:rsidR="00A15EA3" w:rsidRPr="00A15EA3">
        <w:rPr>
          <w:lang w:eastAsia="en-AU" w:bidi="ar-SA"/>
        </w:rPr>
        <w:t xml:space="preserve">that </w:t>
      </w:r>
      <w:r w:rsidRPr="006D6FA5">
        <w:rPr>
          <w:i/>
          <w:lang w:eastAsia="en-AU" w:bidi="ar-SA"/>
        </w:rPr>
        <w:t>Cytophaga</w:t>
      </w:r>
      <w:r w:rsidRPr="006D6FA5">
        <w:rPr>
          <w:lang w:eastAsia="en-AU" w:bidi="ar-SA"/>
        </w:rPr>
        <w:t xml:space="preserve"> sp.</w:t>
      </w:r>
      <w:r w:rsidRPr="001264D3">
        <w:rPr>
          <w:lang w:eastAsia="en-AU" w:bidi="ar-SA"/>
        </w:rPr>
        <w:t xml:space="preserve"> alpha-amylase</w:t>
      </w:r>
      <w:r w:rsidRPr="00A15EA3">
        <w:rPr>
          <w:lang w:eastAsia="en-AU" w:bidi="ar-SA"/>
        </w:rPr>
        <w:t xml:space="preserve"> </w:t>
      </w:r>
      <w:r w:rsidR="00A15EA3" w:rsidRPr="00A15EA3">
        <w:rPr>
          <w:lang w:eastAsia="en-AU" w:bidi="ar-SA"/>
        </w:rPr>
        <w:t xml:space="preserve">produced using </w:t>
      </w:r>
      <w:r>
        <w:rPr>
          <w:lang w:eastAsia="en-AU" w:bidi="ar-SA"/>
        </w:rPr>
        <w:t xml:space="preserve">GM </w:t>
      </w:r>
      <w:r>
        <w:rPr>
          <w:i/>
          <w:lang w:eastAsia="en-AU" w:bidi="ar-SA"/>
        </w:rPr>
        <w:t>B. licheniformis</w:t>
      </w:r>
      <w:r w:rsidR="00A15EA3" w:rsidRPr="00A15EA3">
        <w:rPr>
          <w:lang w:eastAsia="en-AU" w:bidi="ar-SA"/>
        </w:rPr>
        <w:t xml:space="preserve"> is approved for use in Denmark and France.</w:t>
      </w:r>
      <w:r>
        <w:rPr>
          <w:lang w:eastAsia="en-AU" w:bidi="ar-SA"/>
        </w:rPr>
        <w:t xml:space="preserve"> Only the approval letter for Denmark was provided to FSANZ for verification. No</w:t>
      </w:r>
      <w:r w:rsidR="00A15EA3" w:rsidRPr="00A15EA3">
        <w:rPr>
          <w:lang w:eastAsia="en-AU" w:bidi="ar-SA"/>
        </w:rPr>
        <w:t xml:space="preserve"> written assessments</w:t>
      </w:r>
      <w:r>
        <w:rPr>
          <w:lang w:eastAsia="en-AU" w:bidi="ar-SA"/>
        </w:rPr>
        <w:t xml:space="preserve"> were provided.</w:t>
      </w:r>
    </w:p>
    <w:p w14:paraId="5BA8904F" w14:textId="5A1ACE98" w:rsidR="00A15EA3" w:rsidRDefault="00A15EA3" w:rsidP="00A15EA3">
      <w:pPr>
        <w:rPr>
          <w:lang w:eastAsia="en-AU" w:bidi="ar-SA"/>
        </w:rPr>
      </w:pPr>
    </w:p>
    <w:p w14:paraId="34A0CEAD" w14:textId="05BF6646" w:rsidR="00A15EA3" w:rsidRDefault="00416FBD" w:rsidP="00A15EA3">
      <w:pPr>
        <w:rPr>
          <w:lang w:eastAsia="en-AU"/>
        </w:rPr>
      </w:pPr>
      <w:r>
        <w:t>The US FDA responded with a “No Questions</w:t>
      </w:r>
      <w:r w:rsidR="00442E37">
        <w:t>” letter to a GRAS Notification</w:t>
      </w:r>
      <w:r>
        <w:t xml:space="preserve"> </w:t>
      </w:r>
      <w:r w:rsidR="00442E37">
        <w:t>(</w:t>
      </w:r>
      <w:r>
        <w:t>GRN</w:t>
      </w:r>
      <w:r w:rsidR="00442E37">
        <w:t>)</w:t>
      </w:r>
      <w:r>
        <w:t xml:space="preserve"> 664. However, this is not an</w:t>
      </w:r>
      <w:r>
        <w:rPr>
          <w:lang w:eastAsia="en-AU"/>
        </w:rPr>
        <w:t xml:space="preserve"> assessment</w:t>
      </w:r>
      <w:r w:rsidR="00A15EA3" w:rsidRPr="00DC06C8">
        <w:rPr>
          <w:lang w:eastAsia="en-AU"/>
        </w:rPr>
        <w:t xml:space="preserve"> by the FDA and not accepted by FSANZ as an assessment by </w:t>
      </w:r>
      <w:r w:rsidR="00233ADC">
        <w:rPr>
          <w:lang w:eastAsia="en-AU"/>
        </w:rPr>
        <w:t>an</w:t>
      </w:r>
      <w:r w:rsidR="00A15EA3" w:rsidRPr="00DC06C8">
        <w:rPr>
          <w:lang w:eastAsia="en-AU"/>
        </w:rPr>
        <w:t xml:space="preserve"> international agenc</w:t>
      </w:r>
      <w:r w:rsidR="00233ADC">
        <w:rPr>
          <w:lang w:eastAsia="en-AU"/>
        </w:rPr>
        <w:t>y</w:t>
      </w:r>
      <w:r w:rsidR="00A15EA3">
        <w:rPr>
          <w:lang w:eastAsia="en-AU"/>
        </w:rPr>
        <w:t>.</w:t>
      </w:r>
    </w:p>
    <w:p w14:paraId="180EB119" w14:textId="74585001" w:rsidR="00B41258" w:rsidRPr="00C51990" w:rsidRDefault="00B41258" w:rsidP="00C51990">
      <w:pPr>
        <w:pStyle w:val="Heading2"/>
      </w:pPr>
      <w:bookmarkStart w:id="57" w:name="_Toc67471251"/>
      <w:bookmarkStart w:id="58" w:name="_Toc75789522"/>
      <w:bookmarkStart w:id="59" w:name="_Toc76390770"/>
      <w:bookmarkStart w:id="60" w:name="_Toc98407528"/>
      <w:bookmarkStart w:id="61" w:name="_Toc103064647"/>
      <w:r w:rsidRPr="00C51990">
        <w:t>3.4</w:t>
      </w:r>
      <w:r w:rsidRPr="00C51990">
        <w:tab/>
        <w:t>Dietary exposure assessment</w:t>
      </w:r>
      <w:bookmarkEnd w:id="57"/>
      <w:bookmarkEnd w:id="58"/>
      <w:bookmarkEnd w:id="59"/>
      <w:bookmarkEnd w:id="60"/>
      <w:bookmarkEnd w:id="61"/>
    </w:p>
    <w:p w14:paraId="79695E4A" w14:textId="15FB1A54" w:rsidR="00D90AFB" w:rsidRPr="005D1355" w:rsidRDefault="00D90AFB" w:rsidP="00D90AFB">
      <w:pPr>
        <w:rPr>
          <w:szCs w:val="22"/>
        </w:rPr>
      </w:pPr>
      <w:r w:rsidRPr="005D1355">
        <w:rPr>
          <w:szCs w:val="22"/>
        </w:rPr>
        <w:t xml:space="preserve">The objective of the dietary exposure assessment was to review the budget method calculation presented by the applicant as a ‘worse-case scenario’ approach to estimating likely levels of dietary exposure assuming all added </w:t>
      </w:r>
      <w:r>
        <w:rPr>
          <w:szCs w:val="22"/>
        </w:rPr>
        <w:t>alpha-amylase</w:t>
      </w:r>
      <w:r w:rsidR="006B064F">
        <w:rPr>
          <w:szCs w:val="22"/>
        </w:rPr>
        <w:t xml:space="preserve"> enzyme from GM </w:t>
      </w:r>
      <w:r w:rsidR="006B064F" w:rsidRPr="001D53EE">
        <w:rPr>
          <w:rFonts w:cs="Arial"/>
          <w:i/>
        </w:rPr>
        <w:t>Bacillus licheniformis</w:t>
      </w:r>
      <w:r>
        <w:rPr>
          <w:szCs w:val="22"/>
        </w:rPr>
        <w:t xml:space="preserve"> </w:t>
      </w:r>
      <w:r w:rsidRPr="005D1355">
        <w:rPr>
          <w:szCs w:val="22"/>
        </w:rPr>
        <w:t>remained in the food.</w:t>
      </w:r>
    </w:p>
    <w:p w14:paraId="5A5327BB" w14:textId="77777777" w:rsidR="00D90AFB" w:rsidRPr="005D1355" w:rsidRDefault="00D90AFB" w:rsidP="00D90AFB">
      <w:pPr>
        <w:rPr>
          <w:szCs w:val="22"/>
        </w:rPr>
      </w:pPr>
    </w:p>
    <w:p w14:paraId="43280BAC" w14:textId="5679C7C3" w:rsidR="00D90AFB" w:rsidRPr="005D1355" w:rsidRDefault="00D90AFB" w:rsidP="00D90AFB">
      <w:pPr>
        <w:rPr>
          <w:szCs w:val="22"/>
        </w:rPr>
      </w:pPr>
      <w:r w:rsidRPr="005D1355">
        <w:rPr>
          <w:szCs w:val="22"/>
        </w:rPr>
        <w:t xml:space="preserve">The budget method is a valid screening tool for estimating the theoretical maximum daily intake (TMDI) of a food additive (Douglass </w:t>
      </w:r>
      <w:r w:rsidRPr="005D1355">
        <w:rPr>
          <w:i/>
          <w:szCs w:val="22"/>
        </w:rPr>
        <w:t>et al.,</w:t>
      </w:r>
      <w:r w:rsidRPr="005D1355">
        <w:rPr>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w:t>
      </w:r>
      <w:r w:rsidR="00F405AE">
        <w:rPr>
          <w:szCs w:val="22"/>
        </w:rPr>
        <w:t xml:space="preserve">an acceptable daily intake (ADI) </w:t>
      </w:r>
      <w:r w:rsidRPr="005D1355">
        <w:rPr>
          <w:szCs w:val="22"/>
        </w:rPr>
        <w:t>or a NOAEL to estimate a margin of exposure</w:t>
      </w:r>
      <w:r w:rsidR="00E40213">
        <w:rPr>
          <w:szCs w:val="22"/>
        </w:rPr>
        <w:t xml:space="preserve"> (MOE)</w:t>
      </w:r>
      <w:r w:rsidRPr="005D1355">
        <w:rPr>
          <w:szCs w:val="22"/>
        </w:rPr>
        <w:t xml:space="preserve"> for risk characterisation purposes. </w:t>
      </w:r>
    </w:p>
    <w:p w14:paraId="72549E0C" w14:textId="77777777" w:rsidR="00D90AFB" w:rsidRPr="005D1355" w:rsidRDefault="00D90AFB" w:rsidP="00D90AFB">
      <w:pPr>
        <w:rPr>
          <w:szCs w:val="22"/>
        </w:rPr>
      </w:pPr>
    </w:p>
    <w:p w14:paraId="33402706" w14:textId="77777777" w:rsidR="00D90AFB" w:rsidRPr="005D1355" w:rsidRDefault="00D90AFB" w:rsidP="00D90AFB">
      <w:pPr>
        <w:rPr>
          <w:szCs w:val="22"/>
        </w:rPr>
      </w:pPr>
      <w:r w:rsidRPr="005D1355">
        <w:rPr>
          <w:szCs w:val="22"/>
        </w:rPr>
        <w:t>In their budget method calculation, the applicant made the following assumptions:</w:t>
      </w:r>
    </w:p>
    <w:p w14:paraId="3F25E3FA" w14:textId="77777777" w:rsidR="00D90AFB" w:rsidRPr="005D1355" w:rsidRDefault="00D90AFB" w:rsidP="00D90AFB">
      <w:pPr>
        <w:rPr>
          <w:szCs w:val="22"/>
        </w:rPr>
      </w:pPr>
    </w:p>
    <w:p w14:paraId="2BA7BCA5" w14:textId="77777777" w:rsidR="00D90AFB" w:rsidRPr="005D1355" w:rsidRDefault="00D90AFB" w:rsidP="00361613">
      <w:pPr>
        <w:pStyle w:val="FSBullet1"/>
      </w:pPr>
      <w:r w:rsidRPr="005D1355">
        <w:t>the maximum physiological requirement of solid foods (including milk) is 25 g/kg body weight/day</w:t>
      </w:r>
    </w:p>
    <w:p w14:paraId="5CFCE313" w14:textId="77777777" w:rsidR="00D90AFB" w:rsidRDefault="00D90AFB" w:rsidP="00361613">
      <w:pPr>
        <w:pStyle w:val="FSBullet1"/>
      </w:pPr>
      <w:r w:rsidRPr="005D1355">
        <w:t>the maximum physiological requirement for non-milk beverages is 100 mL/kg body weight/day (the standard level used in a budget method calculation)</w:t>
      </w:r>
    </w:p>
    <w:p w14:paraId="6CA047A3" w14:textId="416DDD15" w:rsidR="00D90AFB" w:rsidRPr="00635962" w:rsidRDefault="00D90AFB" w:rsidP="00361613">
      <w:pPr>
        <w:pStyle w:val="FSBullet1"/>
        <w:rPr>
          <w:rFonts w:eastAsia="ArialMT"/>
        </w:rPr>
      </w:pPr>
      <w:r w:rsidRPr="005E14A1">
        <w:rPr>
          <w:rFonts w:eastAsia="ArialMT"/>
        </w:rPr>
        <w:lastRenderedPageBreak/>
        <w:t>50</w:t>
      </w:r>
      <w:r w:rsidR="000C6D74">
        <w:rPr>
          <w:rFonts w:eastAsia="ArialMT"/>
        </w:rPr>
        <w:t>% of solid foods and 25% of non-</w:t>
      </w:r>
      <w:r w:rsidRPr="005E14A1">
        <w:rPr>
          <w:rFonts w:eastAsia="ArialMT"/>
        </w:rPr>
        <w:t xml:space="preserve">milk beverages contain </w:t>
      </w:r>
      <w:r>
        <w:t>alpha-amylase</w:t>
      </w:r>
    </w:p>
    <w:p w14:paraId="5BE91C18" w14:textId="3AA1E6FA" w:rsidR="00D90AFB" w:rsidRPr="00635962" w:rsidRDefault="00D90AFB" w:rsidP="00361613">
      <w:pPr>
        <w:pStyle w:val="FSBullet1"/>
        <w:rPr>
          <w:rFonts w:eastAsia="ArialMT"/>
        </w:rPr>
      </w:pPr>
      <w:r w:rsidRPr="003E7428">
        <w:rPr>
          <w:rFonts w:eastAsia="ArialMT"/>
        </w:rPr>
        <w:t xml:space="preserve">the maximum </w:t>
      </w:r>
      <w:r>
        <w:t>alpha-amylase</w:t>
      </w:r>
      <w:r w:rsidRPr="003E7428">
        <w:rPr>
          <w:rFonts w:eastAsia="ArialMT"/>
        </w:rPr>
        <w:t xml:space="preserve"> l</w:t>
      </w:r>
      <w:r>
        <w:rPr>
          <w:rFonts w:eastAsia="ArialMT"/>
        </w:rPr>
        <w:t>evel in final solid food</w:t>
      </w:r>
      <w:r w:rsidR="000C6D74">
        <w:rPr>
          <w:rFonts w:eastAsia="ArialMT"/>
        </w:rPr>
        <w:t>s</w:t>
      </w:r>
      <w:r>
        <w:rPr>
          <w:rFonts w:eastAsia="ArialMT"/>
        </w:rPr>
        <w:t xml:space="preserve"> was 0.723</w:t>
      </w:r>
      <w:r w:rsidRPr="003E7428">
        <w:rPr>
          <w:rFonts w:eastAsia="ArialMT"/>
        </w:rPr>
        <w:t xml:space="preserve"> mg TOS/kg</w:t>
      </w:r>
      <w:r>
        <w:rPr>
          <w:rFonts w:eastAsia="ArialMT"/>
        </w:rPr>
        <w:t xml:space="preserve"> </w:t>
      </w:r>
      <w:r w:rsidRPr="003E7428">
        <w:rPr>
          <w:rFonts w:eastAsia="ArialMT"/>
        </w:rPr>
        <w:t>food and for non-milk beverage</w:t>
      </w:r>
      <w:r w:rsidR="000C6D74">
        <w:rPr>
          <w:rFonts w:eastAsia="ArialMT"/>
        </w:rPr>
        <w:t>s</w:t>
      </w:r>
      <w:r w:rsidRPr="003E7428">
        <w:rPr>
          <w:rFonts w:eastAsia="ArialMT"/>
        </w:rPr>
        <w:t xml:space="preserve"> was </w:t>
      </w:r>
      <w:r>
        <w:rPr>
          <w:rFonts w:eastAsia="ArialMT"/>
        </w:rPr>
        <w:t>30.91</w:t>
      </w:r>
      <w:r w:rsidRPr="003E7428">
        <w:rPr>
          <w:rFonts w:eastAsia="ArialMT"/>
        </w:rPr>
        <w:t xml:space="preserve"> mg TOS/kg food (i.e. the highest use level</w:t>
      </w:r>
      <w:r>
        <w:rPr>
          <w:rFonts w:eastAsia="ArialMT"/>
        </w:rPr>
        <w:t xml:space="preserve"> </w:t>
      </w:r>
      <w:r w:rsidRPr="003E7428">
        <w:rPr>
          <w:rFonts w:eastAsia="ArialMT"/>
        </w:rPr>
        <w:t>from all uses within each group)</w:t>
      </w:r>
    </w:p>
    <w:p w14:paraId="18E7A381" w14:textId="77777777" w:rsidR="00D90AFB" w:rsidRPr="005D1355" w:rsidRDefault="00D90AFB" w:rsidP="00361613">
      <w:pPr>
        <w:pStyle w:val="FSBullet1"/>
      </w:pPr>
      <w:r w:rsidRPr="005D1355">
        <w:t>all of the enzyme remains in the final food.</w:t>
      </w:r>
    </w:p>
    <w:p w14:paraId="09785D17" w14:textId="77777777" w:rsidR="00D90AFB" w:rsidRPr="005D1355" w:rsidRDefault="00D90AFB" w:rsidP="00D90AFB">
      <w:pPr>
        <w:rPr>
          <w:szCs w:val="22"/>
          <w:lang w:val="en-AU"/>
        </w:rPr>
      </w:pPr>
    </w:p>
    <w:p w14:paraId="6997EAEF" w14:textId="28EBFD38" w:rsidR="00D90AFB" w:rsidRDefault="00D90AFB" w:rsidP="00D90AFB">
      <w:pPr>
        <w:rPr>
          <w:szCs w:val="22"/>
          <w:lang w:val="en-AU"/>
        </w:rPr>
      </w:pPr>
      <w:r w:rsidRPr="005D1355">
        <w:rPr>
          <w:szCs w:val="22"/>
          <w:lang w:val="en-AU"/>
        </w:rPr>
        <w:t>Based on these assumptions, t</w:t>
      </w:r>
      <w:r w:rsidRPr="005D1355">
        <w:rPr>
          <w:szCs w:val="22"/>
        </w:rPr>
        <w:t xml:space="preserve">he applicant </w:t>
      </w:r>
      <w:r w:rsidRPr="005D1355">
        <w:rPr>
          <w:szCs w:val="22"/>
          <w:lang w:val="en-AU"/>
        </w:rPr>
        <w:t xml:space="preserve">calculated the TMDI of </w:t>
      </w:r>
      <w:r>
        <w:rPr>
          <w:szCs w:val="22"/>
        </w:rPr>
        <w:t>alpha-amylase</w:t>
      </w:r>
      <w:r w:rsidRPr="005D1355">
        <w:rPr>
          <w:szCs w:val="22"/>
        </w:rPr>
        <w:t xml:space="preserve"> </w:t>
      </w:r>
      <w:r w:rsidRPr="005D1355">
        <w:rPr>
          <w:szCs w:val="22"/>
          <w:lang w:val="en-AU"/>
        </w:rPr>
        <w:t xml:space="preserve">to be </w:t>
      </w:r>
      <w:r>
        <w:rPr>
          <w:szCs w:val="22"/>
          <w:lang w:val="en-AU"/>
        </w:rPr>
        <w:t>0.</w:t>
      </w:r>
      <w:r w:rsidR="00416303">
        <w:rPr>
          <w:szCs w:val="22"/>
          <w:lang w:val="en-AU"/>
        </w:rPr>
        <w:t>78</w:t>
      </w:r>
      <w:r w:rsidR="0080499E">
        <w:rPr>
          <w:szCs w:val="22"/>
          <w:lang w:val="en-AU"/>
        </w:rPr>
        <w:t> </w:t>
      </w:r>
      <w:r w:rsidRPr="005D1355">
        <w:rPr>
          <w:szCs w:val="22"/>
          <w:lang w:val="en-AU"/>
        </w:rPr>
        <w:t>mg TOS/kg body weight/day.</w:t>
      </w:r>
    </w:p>
    <w:p w14:paraId="041CB9C8" w14:textId="77777777" w:rsidR="00D90AFB" w:rsidRPr="005D1355" w:rsidRDefault="00D90AFB" w:rsidP="00D90AFB">
      <w:pPr>
        <w:rPr>
          <w:szCs w:val="22"/>
          <w:lang w:val="en-AU"/>
        </w:rPr>
      </w:pPr>
    </w:p>
    <w:p w14:paraId="5D0FD0CC" w14:textId="205871D0" w:rsidR="00D90AFB" w:rsidRPr="00712A63" w:rsidRDefault="00D90AFB" w:rsidP="00D90AFB">
      <w:pPr>
        <w:autoSpaceDE w:val="0"/>
        <w:autoSpaceDN w:val="0"/>
        <w:adjustRightInd w:val="0"/>
        <w:rPr>
          <w:rFonts w:eastAsia="ArialMT" w:cs="Arial"/>
          <w:szCs w:val="22"/>
        </w:rPr>
      </w:pPr>
      <w:r w:rsidRPr="00712A63">
        <w:rPr>
          <w:rFonts w:eastAsia="ArialMT" w:cs="Arial"/>
        </w:rPr>
        <w:t>As assumptions made by the applicant differ to thos</w:t>
      </w:r>
      <w:r>
        <w:rPr>
          <w:rFonts w:eastAsia="ArialMT" w:cs="Arial"/>
        </w:rPr>
        <w:t xml:space="preserve">e that FSANZ would have made in </w:t>
      </w:r>
      <w:r w:rsidRPr="00712A63">
        <w:rPr>
          <w:rFonts w:eastAsia="ArialMT" w:cs="Arial"/>
        </w:rPr>
        <w:t>applying the budget method, FSANZ independently calculat</w:t>
      </w:r>
      <w:r w:rsidR="00F405AE">
        <w:rPr>
          <w:rFonts w:eastAsia="ArialMT" w:cs="Arial"/>
        </w:rPr>
        <w:t>ed the T</w:t>
      </w:r>
      <w:r>
        <w:rPr>
          <w:rFonts w:eastAsia="ArialMT" w:cs="Arial"/>
        </w:rPr>
        <w:t>M</w:t>
      </w:r>
      <w:r w:rsidR="00F405AE">
        <w:rPr>
          <w:rFonts w:eastAsia="ArialMT" w:cs="Arial"/>
        </w:rPr>
        <w:t>D</w:t>
      </w:r>
      <w:r>
        <w:rPr>
          <w:rFonts w:eastAsia="ArialMT" w:cs="Arial"/>
        </w:rPr>
        <w:t xml:space="preserve">I using the following </w:t>
      </w:r>
      <w:r w:rsidRPr="00712A63">
        <w:rPr>
          <w:rFonts w:eastAsia="ArialMT" w:cs="Arial"/>
        </w:rPr>
        <w:t>different assumptions that are conservative and reflective of a f</w:t>
      </w:r>
      <w:r>
        <w:rPr>
          <w:rFonts w:eastAsia="ArialMT" w:cs="Arial"/>
        </w:rPr>
        <w:t xml:space="preserve">irst tier in estimating dietary </w:t>
      </w:r>
      <w:r w:rsidRPr="00712A63">
        <w:rPr>
          <w:rFonts w:eastAsia="ArialMT" w:cs="Arial"/>
        </w:rPr>
        <w:t>exposure:</w:t>
      </w:r>
    </w:p>
    <w:p w14:paraId="42CA0337" w14:textId="77777777" w:rsidR="00D90AFB" w:rsidRPr="005D1355" w:rsidRDefault="00D90AFB" w:rsidP="00D90AFB">
      <w:pPr>
        <w:rPr>
          <w:szCs w:val="22"/>
        </w:rPr>
      </w:pPr>
    </w:p>
    <w:p w14:paraId="5AEA3E67" w14:textId="154976C8" w:rsidR="00D90AFB" w:rsidRDefault="00D90AFB" w:rsidP="00361613">
      <w:pPr>
        <w:pStyle w:val="FSBullet1"/>
      </w:pPr>
      <w:r w:rsidRPr="005D1355">
        <w:t xml:space="preserve">the maximum </w:t>
      </w:r>
      <w:r w:rsidRPr="00361613">
        <w:t>physiological</w:t>
      </w:r>
      <w:r w:rsidRPr="005D1355">
        <w:t xml:space="preserve"> requirement for solid food</w:t>
      </w:r>
      <w:r w:rsidR="000C6D74">
        <w:t>s</w:t>
      </w:r>
      <w:r w:rsidRPr="005D1355">
        <w:t xml:space="preserve"> (including milk) is 50 g/kg body weight/day. This is the standard level used in a budget method calculation where there is </w:t>
      </w:r>
      <w:r w:rsidRPr="008142ED">
        <w:t>potential for the enzyme to be in baby foods or general purpose foods that would be consumed by infants</w:t>
      </w:r>
      <w:r w:rsidR="006B064F">
        <w:t xml:space="preserve"> </w:t>
      </w:r>
      <w:r w:rsidR="006B064F" w:rsidRPr="008142ED">
        <w:t>(</w:t>
      </w:r>
      <w:r w:rsidR="00C3136B">
        <w:t>Hansen, 1966</w:t>
      </w:r>
      <w:r w:rsidR="006B064F" w:rsidRPr="008142ED">
        <w:t>)</w:t>
      </w:r>
      <w:r w:rsidRPr="008142ED">
        <w:t>, which for this enzyme would be from modified starch and syrups in breads, dairy products and drinks</w:t>
      </w:r>
      <w:r>
        <w:t>.</w:t>
      </w:r>
    </w:p>
    <w:p w14:paraId="6768E50F" w14:textId="77777777" w:rsidR="00D90AFB" w:rsidRDefault="00D90AFB" w:rsidP="00D90AFB"/>
    <w:p w14:paraId="3E286304" w14:textId="77777777" w:rsidR="00D90AFB" w:rsidRPr="00D02167" w:rsidRDefault="00D90AFB" w:rsidP="00361613">
      <w:pPr>
        <w:pStyle w:val="FSBullet1"/>
        <w:rPr>
          <w:rFonts w:eastAsia="ArialMT"/>
        </w:rPr>
      </w:pPr>
      <w:r w:rsidRPr="00D02167">
        <w:rPr>
          <w:rFonts w:eastAsia="ArialMT"/>
        </w:rPr>
        <w:t>FSANZ would generally assume 12.5% of solid foods contain the enzyme based on</w:t>
      </w:r>
      <w:r>
        <w:rPr>
          <w:rFonts w:eastAsia="ArialMT"/>
        </w:rPr>
        <w:t xml:space="preserve"> </w:t>
      </w:r>
      <w:r w:rsidRPr="00D02167">
        <w:rPr>
          <w:rFonts w:eastAsia="ArialMT"/>
        </w:rPr>
        <w:t>commonly used default proportions noted in the FAO/WHO Environmental Health</w:t>
      </w:r>
      <w:r>
        <w:rPr>
          <w:rFonts w:eastAsia="ArialMT"/>
        </w:rPr>
        <w:t xml:space="preserve"> </w:t>
      </w:r>
      <w:r w:rsidRPr="00D02167">
        <w:rPr>
          <w:rFonts w:eastAsia="ArialMT"/>
        </w:rPr>
        <w:t>Criteria (EHC) 240 Chapter 6 on dietary exposure assessment (FAO/WHO 2009).</w:t>
      </w:r>
      <w:r>
        <w:rPr>
          <w:rFonts w:eastAsia="ArialMT"/>
        </w:rPr>
        <w:t xml:space="preserve"> </w:t>
      </w:r>
      <w:r w:rsidRPr="00D02167">
        <w:rPr>
          <w:rFonts w:eastAsia="ArialMT"/>
        </w:rPr>
        <w:t>However the applicant has assumed a higher proportion of 50% based on the nature</w:t>
      </w:r>
      <w:r>
        <w:rPr>
          <w:rFonts w:eastAsia="ArialMT"/>
        </w:rPr>
        <w:t xml:space="preserve"> </w:t>
      </w:r>
      <w:r w:rsidRPr="00D02167">
        <w:rPr>
          <w:rFonts w:eastAsia="ArialMT"/>
        </w:rPr>
        <w:t>and extent of use of the enzyme and therefore FSANZ has also used this proportion as</w:t>
      </w:r>
      <w:r>
        <w:rPr>
          <w:rFonts w:eastAsia="ArialMT"/>
        </w:rPr>
        <w:t xml:space="preserve"> </w:t>
      </w:r>
      <w:r w:rsidRPr="00D02167">
        <w:rPr>
          <w:rFonts w:eastAsia="ArialMT"/>
        </w:rPr>
        <w:t>a worst case scenario.</w:t>
      </w:r>
    </w:p>
    <w:p w14:paraId="2E6B5FE1" w14:textId="77777777" w:rsidR="00D90AFB" w:rsidRPr="005D1355" w:rsidRDefault="00D90AFB" w:rsidP="00D90AFB">
      <w:pPr>
        <w:pStyle w:val="FSBullet2"/>
        <w:numPr>
          <w:ilvl w:val="0"/>
          <w:numId w:val="0"/>
        </w:numPr>
      </w:pPr>
    </w:p>
    <w:p w14:paraId="684A02E4" w14:textId="19C9367F" w:rsidR="00D90AFB" w:rsidRPr="005D1355" w:rsidRDefault="00D90AFB" w:rsidP="00D90AFB">
      <w:pPr>
        <w:pStyle w:val="FSBullet2"/>
        <w:numPr>
          <w:ilvl w:val="0"/>
          <w:numId w:val="0"/>
        </w:numPr>
      </w:pPr>
      <w:r w:rsidRPr="005D1355">
        <w:t>All other inputs and assumptions used by FSANZ remained as per tho</w:t>
      </w:r>
      <w:r w:rsidR="00F405AE">
        <w:t>se used by the applicant. The T</w:t>
      </w:r>
      <w:r w:rsidRPr="005D1355">
        <w:t>M</w:t>
      </w:r>
      <w:r w:rsidR="00F405AE">
        <w:t>D</w:t>
      </w:r>
      <w:r w:rsidRPr="005D1355">
        <w:t>I based on FSANZ’s calculations for solid food</w:t>
      </w:r>
      <w:r w:rsidR="000C6D74">
        <w:t>s</w:t>
      </w:r>
      <w:r w:rsidRPr="005D1355">
        <w:t xml:space="preserve"> and non-milk beverages were </w:t>
      </w:r>
      <w:r w:rsidRPr="00416303">
        <w:t>0.02</w:t>
      </w:r>
      <w:r w:rsidRPr="005D1355">
        <w:t xml:space="preserve"> mg TOS/kg body weight/day and </w:t>
      </w:r>
      <w:r w:rsidRPr="00416303">
        <w:t>0.77</w:t>
      </w:r>
      <w:r w:rsidRPr="005D1355">
        <w:t xml:space="preserve"> mg TOS/kg body weight/day respectively,</w:t>
      </w:r>
      <w:r w:rsidR="006B064F">
        <w:t xml:space="preserve"> resulting in</w:t>
      </w:r>
      <w:r w:rsidRPr="005D1355">
        <w:t xml:space="preserve"> a total of </w:t>
      </w:r>
      <w:r w:rsidRPr="00416303">
        <w:t>0.79</w:t>
      </w:r>
      <w:r w:rsidRPr="005D1355">
        <w:t xml:space="preserve"> mg TOS/kg bw/day. </w:t>
      </w:r>
    </w:p>
    <w:p w14:paraId="7A5DE1F5" w14:textId="77777777" w:rsidR="00D90AFB" w:rsidRPr="005D1355" w:rsidRDefault="00D90AFB" w:rsidP="00D90AFB">
      <w:pPr>
        <w:pStyle w:val="FSBullet2"/>
        <w:numPr>
          <w:ilvl w:val="0"/>
          <w:numId w:val="0"/>
        </w:numPr>
      </w:pPr>
    </w:p>
    <w:p w14:paraId="7B02313E" w14:textId="52FFFBDB" w:rsidR="001264D3" w:rsidRPr="00D90AFB" w:rsidRDefault="00D90AFB" w:rsidP="00D90AFB">
      <w:pPr>
        <w:pStyle w:val="FSBullet2"/>
        <w:numPr>
          <w:ilvl w:val="0"/>
          <w:numId w:val="0"/>
        </w:numPr>
      </w:pPr>
      <w:r w:rsidRPr="005D1355">
        <w:t>Both the FSANZ and applicant</w:t>
      </w:r>
      <w:r w:rsidR="000C6D74">
        <w:t>’</w:t>
      </w:r>
      <w:r w:rsidRPr="005D1355">
        <w:t>s estimates of the TMDI will be overestimates of the dietary exposure given the conservatisms in the budget method. This includes that it was assumed that the enzyme remains in the final foods and beverages</w:t>
      </w:r>
      <w:r w:rsidR="006B064F">
        <w:t>. T</w:t>
      </w:r>
      <w:r w:rsidRPr="005D1355">
        <w:t xml:space="preserve">he applicant has stated that </w:t>
      </w:r>
      <w:r w:rsidR="006B064F">
        <w:t>the enzyme</w:t>
      </w:r>
      <w:r w:rsidRPr="006F76AA">
        <w:t xml:space="preserve"> is inactivated or removed during the subsequent production and refining processes</w:t>
      </w:r>
      <w:r w:rsidR="006B064F">
        <w:t xml:space="preserve"> </w:t>
      </w:r>
      <w:r w:rsidR="006B064F">
        <w:rPr>
          <w:rFonts w:cs="Arial"/>
        </w:rPr>
        <w:t>and does not have a function in the final food</w:t>
      </w:r>
      <w:r w:rsidR="006B064F" w:rsidRPr="00720FAE">
        <w:rPr>
          <w:rFonts w:cs="Arial"/>
        </w:rPr>
        <w:t>.</w:t>
      </w:r>
    </w:p>
    <w:p w14:paraId="1EE3E9FC" w14:textId="5188E2F8" w:rsidR="00B84361" w:rsidRPr="00A92B6C" w:rsidRDefault="00B90758" w:rsidP="00B84361">
      <w:pPr>
        <w:pStyle w:val="Heading1"/>
        <w:ind w:left="567" w:hanging="567"/>
        <w:rPr>
          <w:sz w:val="28"/>
        </w:rPr>
      </w:pPr>
      <w:bookmarkStart w:id="62" w:name="_Toc98407529"/>
      <w:bookmarkStart w:id="63" w:name="_Toc103064648"/>
      <w:bookmarkStart w:id="64" w:name="_Toc501699836"/>
      <w:r w:rsidRPr="00A92B6C">
        <w:rPr>
          <w:sz w:val="28"/>
        </w:rPr>
        <w:t>4</w:t>
      </w:r>
      <w:r w:rsidR="00B84361" w:rsidRPr="00A92B6C">
        <w:rPr>
          <w:sz w:val="28"/>
        </w:rPr>
        <w:t xml:space="preserve"> </w:t>
      </w:r>
      <w:r w:rsidR="00B84361" w:rsidRPr="00A92B6C">
        <w:rPr>
          <w:sz w:val="28"/>
        </w:rPr>
        <w:tab/>
      </w:r>
      <w:bookmarkEnd w:id="62"/>
      <w:r w:rsidR="008F7CA5">
        <w:rPr>
          <w:sz w:val="28"/>
        </w:rPr>
        <w:t>Discussion</w:t>
      </w:r>
      <w:bookmarkEnd w:id="63"/>
    </w:p>
    <w:p w14:paraId="268E9A84" w14:textId="59E3FAD3" w:rsidR="008F7CA5" w:rsidRDefault="008F7CA5" w:rsidP="008F7CA5">
      <w:pPr>
        <w:rPr>
          <w:lang w:bidi="ar-SA"/>
        </w:rPr>
      </w:pPr>
      <w:r w:rsidRPr="00B44780">
        <w:rPr>
          <w:lang w:val="en-AU"/>
        </w:rPr>
        <w:t xml:space="preserve">No public health and safety concerns were identified in the </w:t>
      </w:r>
      <w:r w:rsidRPr="00C65C9A">
        <w:rPr>
          <w:lang w:val="en-AU"/>
        </w:rPr>
        <w:t xml:space="preserve">assessment of </w:t>
      </w:r>
      <w:r>
        <w:rPr>
          <w:lang w:val="en-AU" w:eastAsia="en-AU" w:bidi="ar-SA"/>
        </w:rPr>
        <w:t>alpha-</w:t>
      </w:r>
      <w:r w:rsidRPr="00C65C9A">
        <w:rPr>
          <w:lang w:val="en-AU" w:eastAsia="en-AU" w:bidi="ar-SA"/>
        </w:rPr>
        <w:t xml:space="preserve">amylase </w:t>
      </w:r>
      <w:r w:rsidR="00406454">
        <w:rPr>
          <w:lang w:val="en-AU" w:eastAsia="en-AU" w:bidi="ar-SA"/>
        </w:rPr>
        <w:t>produced by this</w:t>
      </w:r>
      <w:r w:rsidR="00406454" w:rsidRPr="00C65C9A">
        <w:rPr>
          <w:lang w:val="en-AU" w:eastAsia="en-AU" w:bidi="ar-SA"/>
        </w:rPr>
        <w:t xml:space="preserve"> </w:t>
      </w:r>
      <w:r>
        <w:rPr>
          <w:lang w:val="en-AU" w:eastAsia="en-AU" w:bidi="ar-SA"/>
        </w:rPr>
        <w:t>GM</w:t>
      </w:r>
      <w:r w:rsidRPr="00C65C9A">
        <w:rPr>
          <w:lang w:val="en-AU"/>
        </w:rPr>
        <w:t xml:space="preserve"> </w:t>
      </w:r>
      <w:r>
        <w:rPr>
          <w:i/>
          <w:lang w:val="en-AU"/>
        </w:rPr>
        <w:t>B</w:t>
      </w:r>
      <w:r w:rsidRPr="00C65C9A">
        <w:rPr>
          <w:i/>
          <w:lang w:val="en-AU"/>
        </w:rPr>
        <w:t xml:space="preserve">. </w:t>
      </w:r>
      <w:r>
        <w:rPr>
          <w:i/>
          <w:lang w:val="en-AU"/>
        </w:rPr>
        <w:t>licheniformis</w:t>
      </w:r>
      <w:r w:rsidRPr="00C65C9A">
        <w:rPr>
          <w:lang w:val="en-AU"/>
        </w:rPr>
        <w:t xml:space="preserve"> </w:t>
      </w:r>
      <w:r w:rsidR="00406454" w:rsidRPr="00462C09">
        <w:rPr>
          <w:lang w:val="en-AU"/>
        </w:rPr>
        <w:t xml:space="preserve">strain </w:t>
      </w:r>
      <w:r w:rsidR="00462C09" w:rsidRPr="00462C09">
        <w:rPr>
          <w:lang w:val="en-AU"/>
        </w:rPr>
        <w:t>J</w:t>
      </w:r>
      <w:r w:rsidR="00406454" w:rsidRPr="00462C09">
        <w:rPr>
          <w:lang w:val="en-AU"/>
        </w:rPr>
        <w:t>M</w:t>
      </w:r>
      <w:r w:rsidR="00462C09" w:rsidRPr="00462C09">
        <w:rPr>
          <w:lang w:val="en-AU"/>
        </w:rPr>
        <w:t>L</w:t>
      </w:r>
      <w:r w:rsidR="00406454" w:rsidRPr="00462C09">
        <w:rPr>
          <w:lang w:val="en-AU"/>
        </w:rPr>
        <w:t xml:space="preserve">1584 </w:t>
      </w:r>
      <w:r w:rsidRPr="00462C09">
        <w:rPr>
          <w:lang w:val="en-AU"/>
        </w:rPr>
        <w:t xml:space="preserve">under the proposed use conditions. </w:t>
      </w:r>
      <w:r w:rsidRPr="00462C09">
        <w:rPr>
          <w:lang w:bidi="ar-SA"/>
        </w:rPr>
        <w:t xml:space="preserve">The host </w:t>
      </w:r>
      <w:r w:rsidR="00406454" w:rsidRPr="00462C09">
        <w:rPr>
          <w:lang w:bidi="ar-SA"/>
        </w:rPr>
        <w:t xml:space="preserve">organism </w:t>
      </w:r>
      <w:r w:rsidR="00406454" w:rsidRPr="00462C09">
        <w:rPr>
          <w:i/>
          <w:lang w:bidi="ar-SA"/>
        </w:rPr>
        <w:t>B. licheniformis</w:t>
      </w:r>
      <w:r w:rsidR="00406454" w:rsidRPr="00462C09">
        <w:rPr>
          <w:lang w:bidi="ar-SA"/>
        </w:rPr>
        <w:t xml:space="preserve"> Bra7 from which </w:t>
      </w:r>
      <w:r w:rsidR="00406454" w:rsidRPr="00462C09">
        <w:rPr>
          <w:i/>
          <w:lang w:bidi="ar-SA"/>
        </w:rPr>
        <w:t>B. licheniformis</w:t>
      </w:r>
      <w:r w:rsidR="00406454" w:rsidRPr="00462C09">
        <w:rPr>
          <w:lang w:bidi="ar-SA"/>
        </w:rPr>
        <w:t xml:space="preserve"> </w:t>
      </w:r>
      <w:r w:rsidR="00462C09" w:rsidRPr="00462C09">
        <w:rPr>
          <w:lang w:bidi="ar-SA"/>
        </w:rPr>
        <w:t>J</w:t>
      </w:r>
      <w:r w:rsidR="00406454" w:rsidRPr="00462C09">
        <w:rPr>
          <w:lang w:bidi="ar-SA"/>
        </w:rPr>
        <w:t>M</w:t>
      </w:r>
      <w:r w:rsidR="00462C09" w:rsidRPr="00462C09">
        <w:rPr>
          <w:lang w:bidi="ar-SA"/>
        </w:rPr>
        <w:t>L</w:t>
      </w:r>
      <w:r w:rsidR="00406454" w:rsidRPr="00462C09">
        <w:rPr>
          <w:lang w:bidi="ar-SA"/>
        </w:rPr>
        <w:t xml:space="preserve">1584 was derived </w:t>
      </w:r>
      <w:r w:rsidRPr="00462C09">
        <w:rPr>
          <w:lang w:bidi="ar-SA"/>
        </w:rPr>
        <w:t>has a long history of safe use in food. Analysis of the GM production strain</w:t>
      </w:r>
      <w:r w:rsidR="00544506">
        <w:rPr>
          <w:lang w:bidi="ar-SA"/>
        </w:rPr>
        <w:t xml:space="preserve"> </w:t>
      </w:r>
      <w:r>
        <w:rPr>
          <w:lang w:bidi="ar-SA"/>
        </w:rPr>
        <w:t>confirmed the presence and stability of the introduced DNA.</w:t>
      </w:r>
    </w:p>
    <w:p w14:paraId="3B091367" w14:textId="77777777" w:rsidR="008F7CA5" w:rsidRPr="0080116F" w:rsidRDefault="008F7CA5" w:rsidP="008F7CA5">
      <w:pPr>
        <w:rPr>
          <w:lang w:bidi="ar-SA"/>
        </w:rPr>
      </w:pPr>
    </w:p>
    <w:p w14:paraId="52942F83" w14:textId="77777777" w:rsidR="008F7CA5" w:rsidRDefault="008F7CA5" w:rsidP="008F7CA5">
      <w:pPr>
        <w:rPr>
          <w:lang w:val="en-AU"/>
        </w:rPr>
      </w:pPr>
      <w:r w:rsidRPr="006714B9">
        <w:rPr>
          <w:lang w:val="en-AU"/>
        </w:rPr>
        <w:t>Bioinformatics analysis indicated that the enzyme shows no significant homology with any known toxins</w:t>
      </w:r>
      <w:r>
        <w:rPr>
          <w:lang w:val="en-AU"/>
        </w:rPr>
        <w:t xml:space="preserve"> or allergens.</w:t>
      </w:r>
    </w:p>
    <w:p w14:paraId="47CA77C5" w14:textId="77777777" w:rsidR="008F7CA5" w:rsidRPr="00C65C9A" w:rsidRDefault="008F7CA5" w:rsidP="008F7CA5">
      <w:pPr>
        <w:rPr>
          <w:lang w:val="en-AU"/>
        </w:rPr>
      </w:pPr>
    </w:p>
    <w:p w14:paraId="6395C327" w14:textId="1D71F8A3" w:rsidR="008F7CA5" w:rsidRPr="006714B9" w:rsidRDefault="008F7CA5" w:rsidP="008F7CA5">
      <w:pPr>
        <w:rPr>
          <w:lang w:val="en-AU"/>
        </w:rPr>
      </w:pPr>
      <w:r>
        <w:rPr>
          <w:lang w:val="en-AU"/>
        </w:rPr>
        <w:t>Toxicity testing</w:t>
      </w:r>
      <w:r w:rsidRPr="00B44780">
        <w:rPr>
          <w:lang w:val="en-AU"/>
        </w:rPr>
        <w:t xml:space="preserve"> of the enzyme showed no evidence of genotoxicity </w:t>
      </w:r>
      <w:r w:rsidRPr="00B44780">
        <w:rPr>
          <w:i/>
          <w:lang w:val="en-AU"/>
        </w:rPr>
        <w:t>in vitro</w:t>
      </w:r>
      <w:r w:rsidRPr="00B44780">
        <w:rPr>
          <w:lang w:val="en-AU"/>
        </w:rPr>
        <w:t xml:space="preserve"> and </w:t>
      </w:r>
      <w:r>
        <w:rPr>
          <w:lang w:val="en-AU"/>
        </w:rPr>
        <w:t>t</w:t>
      </w:r>
      <w:r w:rsidRPr="00B44780">
        <w:rPr>
          <w:lang w:val="en-AU"/>
        </w:rPr>
        <w:t xml:space="preserve">he </w:t>
      </w:r>
      <w:r>
        <w:rPr>
          <w:lang w:val="en-AU"/>
        </w:rPr>
        <w:t>N</w:t>
      </w:r>
      <w:r w:rsidRPr="00B44780">
        <w:rPr>
          <w:lang w:val="en-AU"/>
        </w:rPr>
        <w:t>OAEL in a 90-day oral gavage study in rats</w:t>
      </w:r>
      <w:r>
        <w:rPr>
          <w:lang w:val="en-AU"/>
        </w:rPr>
        <w:t xml:space="preserve"> was the highest dose tested, 500</w:t>
      </w:r>
      <w:r w:rsidRPr="00B44780">
        <w:rPr>
          <w:lang w:val="en-AU"/>
        </w:rPr>
        <w:t xml:space="preserve"> mg</w:t>
      </w:r>
      <w:r w:rsidRPr="00557D04">
        <w:rPr>
          <w:lang w:val="en-AU"/>
        </w:rPr>
        <w:t xml:space="preserve"> </w:t>
      </w:r>
      <w:r>
        <w:rPr>
          <w:lang w:val="en-AU"/>
        </w:rPr>
        <w:t>TOS</w:t>
      </w:r>
      <w:r w:rsidRPr="00B44780">
        <w:rPr>
          <w:lang w:val="en-AU"/>
        </w:rPr>
        <w:t>/kg bw/day</w:t>
      </w:r>
      <w:r w:rsidRPr="00C65C9A">
        <w:rPr>
          <w:lang w:val="en-AU"/>
        </w:rPr>
        <w:t xml:space="preserve">. The </w:t>
      </w:r>
      <w:r>
        <w:rPr>
          <w:lang w:val="en-AU"/>
        </w:rPr>
        <w:t>T</w:t>
      </w:r>
      <w:r w:rsidRPr="00C65C9A">
        <w:rPr>
          <w:lang w:val="en-AU"/>
        </w:rPr>
        <w:t xml:space="preserve">MDI was calculated to be </w:t>
      </w:r>
      <w:r>
        <w:rPr>
          <w:lang w:val="en-AU"/>
        </w:rPr>
        <w:t>up to 0</w:t>
      </w:r>
      <w:r w:rsidRPr="00C65C9A">
        <w:rPr>
          <w:lang w:val="en-AU"/>
        </w:rPr>
        <w:t>.</w:t>
      </w:r>
      <w:r>
        <w:rPr>
          <w:lang w:val="en-AU"/>
        </w:rPr>
        <w:t>79</w:t>
      </w:r>
      <w:r w:rsidRPr="00C65C9A">
        <w:rPr>
          <w:lang w:val="en-AU"/>
        </w:rPr>
        <w:t xml:space="preserve"> mg</w:t>
      </w:r>
      <w:r>
        <w:rPr>
          <w:lang w:val="en-AU"/>
        </w:rPr>
        <w:t xml:space="preserve"> TOS</w:t>
      </w:r>
      <w:r w:rsidRPr="00C65C9A">
        <w:rPr>
          <w:lang w:val="en-AU"/>
        </w:rPr>
        <w:t xml:space="preserve">/kg bw/day. Comparison of the NOAEL </w:t>
      </w:r>
      <w:r>
        <w:rPr>
          <w:lang w:val="en-AU"/>
        </w:rPr>
        <w:t>with</w:t>
      </w:r>
      <w:r w:rsidRPr="00C65C9A">
        <w:rPr>
          <w:lang w:val="en-AU"/>
        </w:rPr>
        <w:t xml:space="preserve"> the TMDI </w:t>
      </w:r>
      <w:r>
        <w:rPr>
          <w:lang w:val="en-AU"/>
        </w:rPr>
        <w:t xml:space="preserve">gives a </w:t>
      </w:r>
      <w:r w:rsidRPr="00C65C9A">
        <w:rPr>
          <w:lang w:val="en-AU"/>
        </w:rPr>
        <w:t xml:space="preserve">MOE of </w:t>
      </w:r>
      <w:r>
        <w:rPr>
          <w:lang w:val="en-AU"/>
        </w:rPr>
        <w:t xml:space="preserve">approximately </w:t>
      </w:r>
      <w:r w:rsidR="00BA23E5">
        <w:rPr>
          <w:lang w:val="en-AU"/>
        </w:rPr>
        <w:t>600</w:t>
      </w:r>
      <w:r w:rsidRPr="006714B9">
        <w:rPr>
          <w:lang w:val="en-AU"/>
        </w:rPr>
        <w:t>.</w:t>
      </w:r>
    </w:p>
    <w:p w14:paraId="7613006C" w14:textId="2A3FC0C3" w:rsidR="008F7CA5" w:rsidRPr="008F7CA5" w:rsidRDefault="008F7CA5" w:rsidP="008F7CA5">
      <w:pPr>
        <w:pStyle w:val="Heading1"/>
        <w:ind w:left="567" w:hanging="567"/>
        <w:rPr>
          <w:sz w:val="28"/>
        </w:rPr>
      </w:pPr>
      <w:bookmarkStart w:id="65" w:name="_Toc103064649"/>
      <w:r>
        <w:rPr>
          <w:sz w:val="28"/>
        </w:rPr>
        <w:lastRenderedPageBreak/>
        <w:t>5</w:t>
      </w:r>
      <w:r w:rsidRPr="00A92B6C">
        <w:rPr>
          <w:sz w:val="28"/>
        </w:rPr>
        <w:t xml:space="preserve"> </w:t>
      </w:r>
      <w:r w:rsidRPr="00A92B6C">
        <w:rPr>
          <w:sz w:val="28"/>
        </w:rPr>
        <w:tab/>
        <w:t>Conclusions</w:t>
      </w:r>
      <w:bookmarkEnd w:id="65"/>
    </w:p>
    <w:p w14:paraId="4B5CA93B" w14:textId="2DBA6F2E" w:rsidR="00E521C3" w:rsidRPr="00A92B6C" w:rsidRDefault="008F7CA5" w:rsidP="00901592">
      <w:pPr>
        <w:rPr>
          <w:b/>
          <w:bCs/>
          <w:sz w:val="28"/>
          <w:szCs w:val="28"/>
          <w:lang w:bidi="ar-SA"/>
        </w:rPr>
      </w:pPr>
      <w:r w:rsidRPr="00B44780">
        <w:rPr>
          <w:lang w:val="en-AU"/>
        </w:rPr>
        <w:t>Based on the reviewed data it is concluded that in the absence of any identifiable hazard</w:t>
      </w:r>
      <w:r w:rsidR="00EE1EA5">
        <w:rPr>
          <w:lang w:val="en-AU"/>
        </w:rPr>
        <w:t>,</w:t>
      </w:r>
      <w:r w:rsidRPr="00B44780">
        <w:rPr>
          <w:lang w:val="en-AU"/>
        </w:rPr>
        <w:t xml:space="preserve"> an Acceptable Daily Intake (ADI) ‘not specified’ is appropriate.</w:t>
      </w:r>
    </w:p>
    <w:p w14:paraId="26281CEA" w14:textId="06A26CFE" w:rsidR="00AF0509" w:rsidRDefault="008E6802" w:rsidP="00BD59CB">
      <w:pPr>
        <w:pStyle w:val="Heading1"/>
        <w:ind w:left="567" w:hanging="567"/>
        <w:rPr>
          <w:sz w:val="28"/>
        </w:rPr>
      </w:pPr>
      <w:bookmarkStart w:id="66" w:name="_Toc98407530"/>
      <w:bookmarkStart w:id="67" w:name="_Toc103064650"/>
      <w:r>
        <w:rPr>
          <w:sz w:val="28"/>
        </w:rPr>
        <w:t>6</w:t>
      </w:r>
      <w:r w:rsidR="00AF0509" w:rsidRPr="00A92B6C">
        <w:rPr>
          <w:sz w:val="28"/>
        </w:rPr>
        <w:t xml:space="preserve"> </w:t>
      </w:r>
      <w:r w:rsidR="00BD59CB" w:rsidRPr="00A92B6C">
        <w:rPr>
          <w:sz w:val="28"/>
        </w:rPr>
        <w:tab/>
      </w:r>
      <w:r w:rsidR="00AF0509" w:rsidRPr="00A92B6C">
        <w:rPr>
          <w:sz w:val="28"/>
        </w:rPr>
        <w:t>References</w:t>
      </w:r>
      <w:bookmarkEnd w:id="64"/>
      <w:bookmarkEnd w:id="66"/>
      <w:bookmarkEnd w:id="67"/>
    </w:p>
    <w:p w14:paraId="00E694F9" w14:textId="39E86E15" w:rsidR="0056561E" w:rsidRDefault="0056561E" w:rsidP="00FA09CD">
      <w:r w:rsidRPr="0056561E">
        <w:t xml:space="preserve">Baur X, Posch A. </w:t>
      </w:r>
      <w:r>
        <w:t>(</w:t>
      </w:r>
      <w:r w:rsidRPr="0056561E">
        <w:t>1998</w:t>
      </w:r>
      <w:r>
        <w:t>)</w:t>
      </w:r>
      <w:r w:rsidRPr="0056561E">
        <w:t xml:space="preserve"> Characterized allergens causing bakers' asthma. Allergy. 53(6):562-6</w:t>
      </w:r>
    </w:p>
    <w:p w14:paraId="20F12360" w14:textId="12A75A75" w:rsidR="0056561E" w:rsidRDefault="0056561E" w:rsidP="00FA09CD"/>
    <w:p w14:paraId="3945F240" w14:textId="4976081D" w:rsidR="0056561E" w:rsidRDefault="0056561E" w:rsidP="00FA09CD">
      <w:r w:rsidRPr="0056561E">
        <w:t>Bindslev-Jensen C, Skov PS, Roggen EL, Hvass P, Brinch DS.</w:t>
      </w:r>
      <w:r>
        <w:t xml:space="preserve"> (2006)</w:t>
      </w:r>
      <w:r w:rsidRPr="0056561E">
        <w:t xml:space="preserve"> Investigation on possible allergenicity of 19 different commercial enzymes used in the food indus</w:t>
      </w:r>
      <w:r>
        <w:t xml:space="preserve">try. Food Chem Toxicol. </w:t>
      </w:r>
      <w:r w:rsidRPr="0056561E">
        <w:t>44(11):1909-15</w:t>
      </w:r>
    </w:p>
    <w:p w14:paraId="41B048AE" w14:textId="77777777" w:rsidR="0056561E" w:rsidRDefault="0056561E" w:rsidP="00FA09CD"/>
    <w:p w14:paraId="6DFE71EB" w14:textId="7667A309" w:rsidR="008D095D" w:rsidRDefault="008D095D" w:rsidP="00FA09CD">
      <w:r>
        <w:t>BioReliance</w:t>
      </w:r>
      <w:r w:rsidRPr="008D095D">
        <w:t xml:space="preserve"> </w:t>
      </w:r>
      <w:r>
        <w:t>(</w:t>
      </w:r>
      <w:r w:rsidRPr="008D095D">
        <w:t>2014</w:t>
      </w:r>
      <w:r>
        <w:t xml:space="preserve">) </w:t>
      </w:r>
      <w:r w:rsidRPr="008D095D">
        <w:t>Bacterial Reverse Mutation Assay</w:t>
      </w:r>
      <w:r>
        <w:t>. Study ID:</w:t>
      </w:r>
      <w:r w:rsidRPr="008D095D">
        <w:t xml:space="preserve"> AD84GP.507001.BTL</w:t>
      </w:r>
    </w:p>
    <w:p w14:paraId="1730D51F" w14:textId="77777777" w:rsidR="008D095D" w:rsidRDefault="008D095D" w:rsidP="00FA09CD"/>
    <w:p w14:paraId="06A7A752" w14:textId="3A0F09F9" w:rsidR="00F93182" w:rsidRDefault="00F93182" w:rsidP="00FA09CD">
      <w:r w:rsidRPr="00F93182">
        <w:t>Chang A, Jeske L, Ulbrich S, Hofmann J, Koblitz J., Schomburg I, Neumann-Schaal M, Jahn D, Schomburg D,</w:t>
      </w:r>
      <w:r>
        <w:t xml:space="preserve"> (2021). </w:t>
      </w:r>
      <w:r w:rsidRPr="00F93182">
        <w:t xml:space="preserve"> BRENDA, the ELIXIR core data resource in 2021: new developments and updates</w:t>
      </w:r>
      <w:r>
        <w:t xml:space="preserve">. </w:t>
      </w:r>
      <w:r w:rsidRPr="00F93182">
        <w:t>Nucleic Acids Res., 49:D498-D508</w:t>
      </w:r>
    </w:p>
    <w:p w14:paraId="777FCD01" w14:textId="77777777" w:rsidR="00FA09CD" w:rsidRDefault="00FA09CD" w:rsidP="00FA09CD"/>
    <w:p w14:paraId="178DBFE9" w14:textId="1603DEAB" w:rsidR="008F1DAB" w:rsidRPr="00BD777F" w:rsidRDefault="008F1DAB" w:rsidP="00FA09CD">
      <w:pPr>
        <w:rPr>
          <w:rFonts w:cs="Arial"/>
        </w:rPr>
      </w:pPr>
      <w:r w:rsidRPr="00BD777F">
        <w:rPr>
          <w:rFonts w:cs="Arial"/>
        </w:rPr>
        <w:t>Damodaran S, Parkin KL, Fennema OR (2008) Fennema's Food Chemistry (4th ed). Boca Raton: CRC Press/Taylor &amp; Francis</w:t>
      </w:r>
    </w:p>
    <w:p w14:paraId="33E00B4C" w14:textId="031BD2A5" w:rsidR="008F1DAB" w:rsidRDefault="008F1DAB" w:rsidP="00FA09CD"/>
    <w:p w14:paraId="735BD3B7" w14:textId="247275A2" w:rsidR="008F1DAB" w:rsidRDefault="008F1DAB" w:rsidP="00FA09CD">
      <w:pPr>
        <w:rPr>
          <w:rFonts w:cs="Arial"/>
        </w:rPr>
      </w:pPr>
      <w:r w:rsidRPr="001D53EE">
        <w:rPr>
          <w:rFonts w:cs="Arial"/>
        </w:rPr>
        <w:t xml:space="preserve">De Boer AS, Priest F, Diderichsen B (1994) On the industrial use of </w:t>
      </w:r>
      <w:r w:rsidRPr="001D53EE">
        <w:rPr>
          <w:rFonts w:cs="Arial"/>
          <w:i/>
        </w:rPr>
        <w:t>Bacillus licheniformis</w:t>
      </w:r>
      <w:r w:rsidRPr="001D53EE">
        <w:rPr>
          <w:rFonts w:cs="Arial"/>
        </w:rPr>
        <w:t>: a review. Appl. Microbiol. Biotechnol 40:595-598</w:t>
      </w:r>
    </w:p>
    <w:p w14:paraId="561790E8" w14:textId="77777777" w:rsidR="008D095D" w:rsidRPr="001D53EE" w:rsidRDefault="008D095D" w:rsidP="00FA09CD">
      <w:pPr>
        <w:rPr>
          <w:rFonts w:cs="Arial"/>
        </w:rPr>
      </w:pPr>
    </w:p>
    <w:p w14:paraId="350A6A33" w14:textId="16B1507F" w:rsidR="00D90AFB" w:rsidRDefault="00D90AFB" w:rsidP="00FA09CD">
      <w:r w:rsidRPr="005D1355">
        <w:t>Douglass JS, Barraj LM, Tennant DR, Long WR, Chaisson CF (1997) Evaluation of the Budget Method for screening food additive intakes. Food Addit Contam 14(8): 791-802</w:t>
      </w:r>
    </w:p>
    <w:p w14:paraId="59F47E8D" w14:textId="7D53A060" w:rsidR="008D095D" w:rsidRDefault="008D095D" w:rsidP="00FA09CD"/>
    <w:p w14:paraId="0C3C6FF9" w14:textId="6AB58754" w:rsidR="008D095D" w:rsidRDefault="008D095D" w:rsidP="00FA09CD">
      <w:r>
        <w:t>DuPont Haskell (</w:t>
      </w:r>
      <w:r w:rsidRPr="008D095D">
        <w:t>2014</w:t>
      </w:r>
      <w:r w:rsidRPr="008D095D">
        <w:rPr>
          <w:i/>
        </w:rPr>
        <w:t>) In Vitro</w:t>
      </w:r>
      <w:r w:rsidRPr="008D095D">
        <w:t xml:space="preserve"> Mammalian Chromosome Aberration Test in Human Peripheral Blood Lymphocytes</w:t>
      </w:r>
      <w:r>
        <w:t xml:space="preserve">. Study ID: </w:t>
      </w:r>
      <w:r w:rsidRPr="008D095D">
        <w:t>DuPont-20558-544</w:t>
      </w:r>
    </w:p>
    <w:p w14:paraId="7160F049" w14:textId="3118E94F" w:rsidR="008F1DAB" w:rsidRDefault="008F1DAB" w:rsidP="00FA09CD"/>
    <w:p w14:paraId="4E8727AF" w14:textId="1A573AC2" w:rsidR="008F1DAB" w:rsidRDefault="008F1DAB" w:rsidP="00FA09CD">
      <w:pPr>
        <w:rPr>
          <w:rFonts w:cs="Arial"/>
        </w:rPr>
      </w:pPr>
      <w:r w:rsidRPr="001D53EE">
        <w:rPr>
          <w:rFonts w:cs="Arial"/>
        </w:rPr>
        <w:t>EFSA (2010) Scientific Opinion on the maintenance of the list of QPS biological agents intentionally added to food and feed (2010 update). EFSA Journal 8(12):1944</w:t>
      </w:r>
    </w:p>
    <w:p w14:paraId="1F75F03B" w14:textId="77777777" w:rsidR="00FA09CD" w:rsidRPr="001D53EE" w:rsidRDefault="00FA09CD" w:rsidP="00FA09CD">
      <w:pPr>
        <w:rPr>
          <w:rFonts w:cs="Arial"/>
        </w:rPr>
      </w:pPr>
    </w:p>
    <w:p w14:paraId="320A37BF" w14:textId="581AE5EA" w:rsidR="008F1DAB" w:rsidRPr="001D53EE" w:rsidRDefault="008F1DAB" w:rsidP="00FA09CD">
      <w:pPr>
        <w:rPr>
          <w:rFonts w:cs="Arial"/>
        </w:rPr>
      </w:pPr>
      <w:r w:rsidRPr="001D53EE">
        <w:rPr>
          <w:rFonts w:cs="Arial"/>
        </w:rPr>
        <w:t xml:space="preserve">Environmental Protection Agency (1997) </w:t>
      </w:r>
      <w:r w:rsidRPr="001D53EE">
        <w:rPr>
          <w:rFonts w:cs="Arial"/>
          <w:i/>
        </w:rPr>
        <w:t>Bacillus licheniformis</w:t>
      </w:r>
      <w:r w:rsidRPr="001D53EE">
        <w:rPr>
          <w:rFonts w:cs="Arial"/>
        </w:rPr>
        <w:t xml:space="preserve"> Final Risk Assessment. </w:t>
      </w:r>
      <w:hyperlink r:id="rId25" w:history="1">
        <w:r w:rsidR="002F7084" w:rsidRPr="003649DA">
          <w:rPr>
            <w:rStyle w:val="Hyperlink"/>
            <w:rFonts w:cs="Arial"/>
          </w:rPr>
          <w:t>https://www.epa.gov/sites/production/files/2015-09/documents/fra005.pdf</w:t>
        </w:r>
      </w:hyperlink>
      <w:r w:rsidR="002F7084">
        <w:rPr>
          <w:rFonts w:cs="Arial"/>
        </w:rPr>
        <w:t>. A</w:t>
      </w:r>
      <w:r w:rsidR="006F6339">
        <w:rPr>
          <w:rFonts w:cs="Arial"/>
        </w:rPr>
        <w:t>ccessed 23 February 2022</w:t>
      </w:r>
    </w:p>
    <w:p w14:paraId="6B990768" w14:textId="5F70F76C" w:rsidR="00D90AFB" w:rsidRDefault="00D90AFB" w:rsidP="00FA09CD"/>
    <w:p w14:paraId="0BD0CEB7" w14:textId="280B7DF3" w:rsidR="008E6802" w:rsidRDefault="008E6802" w:rsidP="008E6802">
      <w:pPr>
        <w:autoSpaceDE w:val="0"/>
        <w:autoSpaceDN w:val="0"/>
        <w:adjustRightInd w:val="0"/>
      </w:pPr>
      <w:r w:rsidRPr="00AE229F">
        <w:rPr>
          <w:rFonts w:cs="Arial"/>
          <w:szCs w:val="22"/>
        </w:rPr>
        <w:t>FAO/WHO (Food and Agriculture Organization of the United Nations/World Health Organization)</w:t>
      </w:r>
      <w:r>
        <w:rPr>
          <w:rFonts w:cs="Arial"/>
          <w:szCs w:val="22"/>
        </w:rPr>
        <w:t xml:space="preserve"> (</w:t>
      </w:r>
      <w:r w:rsidRPr="00AE229F">
        <w:rPr>
          <w:rFonts w:cs="Arial"/>
          <w:szCs w:val="22"/>
        </w:rPr>
        <w:t>2006</w:t>
      </w:r>
      <w:r>
        <w:rPr>
          <w:rFonts w:cs="Arial"/>
          <w:szCs w:val="22"/>
        </w:rPr>
        <w:t>)</w:t>
      </w:r>
      <w:r w:rsidRPr="00AE229F">
        <w:rPr>
          <w:rFonts w:cs="Arial"/>
          <w:szCs w:val="22"/>
        </w:rPr>
        <w:t xml:space="preserve"> General specifications and considerations for enzyme preparations used in food processing in Compendium of food additive specifications. 67th meeting. FAO JECFA Monographs, 3, 63–67. Available online: </w:t>
      </w:r>
      <w:hyperlink r:id="rId26" w:history="1">
        <w:r w:rsidRPr="00AE229F">
          <w:rPr>
            <w:rStyle w:val="Hyperlink"/>
            <w:szCs w:val="22"/>
          </w:rPr>
          <w:t>Compendium of Food Additive Specifications. Joint FAO/WHO Expert Committee on Food Additives (JECFA), 67th meeting 2006. FAO JECFA Monographs 3</w:t>
        </w:r>
      </w:hyperlink>
      <w:r>
        <w:rPr>
          <w:rStyle w:val="Hyperlink"/>
          <w:szCs w:val="22"/>
        </w:rPr>
        <w:t xml:space="preserve">. </w:t>
      </w:r>
      <w:r>
        <w:t>Accessed 29 April 2022</w:t>
      </w:r>
    </w:p>
    <w:p w14:paraId="2B88F7FF" w14:textId="77777777" w:rsidR="008E6802" w:rsidRPr="005D1355" w:rsidRDefault="008E6802" w:rsidP="00FA09CD"/>
    <w:p w14:paraId="68BE1BA9" w14:textId="5C4D9C12" w:rsidR="00D90AFB" w:rsidRDefault="00D90AFB" w:rsidP="00FA09CD">
      <w:pPr>
        <w:rPr>
          <w:color w:val="000000"/>
        </w:rPr>
      </w:pPr>
      <w:r w:rsidRPr="005D1355">
        <w:rPr>
          <w:color w:val="000000"/>
        </w:rPr>
        <w:t>FAO/WHO (2009) Chapter 6: Dietary exposure assessment of chemicals in food. In: International Programme on Chemical Safety (IPCS). Environmental Health Criteria, No 240. Principles and methods for the risk assessment of chemicals in food. Rome: Food and Agriculture Organization of the United Nations (FAO) / Geneva: World Health Organization (WHO)</w:t>
      </w:r>
    </w:p>
    <w:p w14:paraId="4A994423" w14:textId="0664F536" w:rsidR="008E6802" w:rsidRDefault="008E6802" w:rsidP="00FA09CD">
      <w:pPr>
        <w:rPr>
          <w:color w:val="000000"/>
        </w:rPr>
      </w:pPr>
    </w:p>
    <w:p w14:paraId="6A1FC6FF" w14:textId="71430B46" w:rsidR="008E6802" w:rsidRPr="005D1355" w:rsidRDefault="008E6802" w:rsidP="00FA09CD">
      <w:pPr>
        <w:rPr>
          <w:color w:val="000000"/>
        </w:rPr>
      </w:pPr>
      <w:r w:rsidRPr="008E6802">
        <w:rPr>
          <w:color w:val="000000"/>
        </w:rPr>
        <w:t>FCC (2008) Enzyme preparations. In: Food Chemicals Codex, 6th edition. Rockville (MD): United States Pharmacopeial Convention, pp. 413–417</w:t>
      </w:r>
    </w:p>
    <w:p w14:paraId="3DC1B9DC" w14:textId="77777777" w:rsidR="00B26C7E" w:rsidRDefault="00B26C7E" w:rsidP="00FA09CD">
      <w:pPr>
        <w:rPr>
          <w:lang w:bidi="ar-SA"/>
        </w:rPr>
      </w:pPr>
    </w:p>
    <w:p w14:paraId="334C2125" w14:textId="6B5C547E" w:rsidR="00FA09CD" w:rsidRDefault="00FA09CD" w:rsidP="00FA09CD">
      <w:pPr>
        <w:rPr>
          <w:lang w:bidi="ar-SA"/>
        </w:rPr>
      </w:pPr>
      <w:r w:rsidRPr="00FA09CD">
        <w:rPr>
          <w:lang w:bidi="ar-SA"/>
        </w:rPr>
        <w:t xml:space="preserve">García-López M, Meier-Kolthoff JP, Tindall BT, Gronow S, Woyke T, Kyrpides NC, Hahnke RL, GökeGarcia-López M (2019) Analysis of 1,000 type-strain genomes improves taxonomic classification of Bacteroidetes. </w:t>
      </w:r>
      <w:r>
        <w:rPr>
          <w:lang w:bidi="ar-SA"/>
        </w:rPr>
        <w:t>Front. Microbiol.</w:t>
      </w:r>
      <w:r w:rsidRPr="00FA09CD">
        <w:rPr>
          <w:lang w:bidi="ar-SA"/>
        </w:rPr>
        <w:t xml:space="preserve"> 10:2083 </w:t>
      </w:r>
    </w:p>
    <w:p w14:paraId="502264A0" w14:textId="46DE09C8" w:rsidR="00C3136B" w:rsidRDefault="00C3136B" w:rsidP="00FA09CD">
      <w:pPr>
        <w:rPr>
          <w:lang w:bidi="ar-SA"/>
        </w:rPr>
      </w:pPr>
    </w:p>
    <w:p w14:paraId="4F2A0729" w14:textId="080B2AD7" w:rsidR="00C3136B" w:rsidRPr="00C3136B" w:rsidRDefault="00C3136B" w:rsidP="00FA09CD">
      <w:pPr>
        <w:rPr>
          <w:rFonts w:cs="Arial"/>
          <w:color w:val="000000"/>
        </w:rPr>
      </w:pPr>
      <w:r>
        <w:rPr>
          <w:rFonts w:cs="Arial"/>
          <w:color w:val="000000"/>
        </w:rPr>
        <w:t>Hansen SC (1966) Acceptable Daily Intake of Food Additives and Ceiling on Levels of Use. Food and Cosmetics Toxicology, 4: 427-432</w:t>
      </w:r>
    </w:p>
    <w:p w14:paraId="235D28E5" w14:textId="77777777" w:rsidR="00FA09CD" w:rsidRDefault="00FA09CD" w:rsidP="00FA09CD">
      <w:pPr>
        <w:rPr>
          <w:lang w:bidi="ar-SA"/>
        </w:rPr>
      </w:pPr>
    </w:p>
    <w:p w14:paraId="285B7431" w14:textId="60FF8AB6" w:rsidR="0057773D" w:rsidRDefault="0057773D" w:rsidP="00FA09CD">
      <w:pPr>
        <w:rPr>
          <w:lang w:bidi="ar-SA"/>
        </w:rPr>
      </w:pPr>
      <w:r>
        <w:t>Haydushka IA, Markova N, Kirina V and Atanassova M (2012) Recurrent sepsis due to Bacillus licheniformis. J Glob Infect Dis 4(1): 82–83.</w:t>
      </w:r>
    </w:p>
    <w:p w14:paraId="2A99B50D" w14:textId="77777777" w:rsidR="0057773D" w:rsidRDefault="0057773D" w:rsidP="00FA09CD">
      <w:pPr>
        <w:rPr>
          <w:lang w:bidi="ar-SA"/>
        </w:rPr>
      </w:pPr>
    </w:p>
    <w:p w14:paraId="3E3462BC" w14:textId="77777777" w:rsidR="00FA09CD" w:rsidRDefault="00FA09CD" w:rsidP="00FA09CD">
      <w:pPr>
        <w:rPr>
          <w:lang w:bidi="ar-SA"/>
        </w:rPr>
      </w:pPr>
      <w:r>
        <w:rPr>
          <w:lang w:bidi="ar-SA"/>
        </w:rPr>
        <w:t xml:space="preserve">International Union Of Biochemistry And Molecular Biology (IUBMB) 2022, </w:t>
      </w:r>
      <w:hyperlink r:id="rId27" w:history="1">
        <w:r w:rsidRPr="00E26565">
          <w:rPr>
            <w:rStyle w:val="Hyperlink"/>
            <w:lang w:bidi="ar-SA"/>
          </w:rPr>
          <w:t>https://iubmb.qmul.ac.uk/enzyme/EC3/2/1/1.html</w:t>
        </w:r>
      </w:hyperlink>
      <w:r>
        <w:rPr>
          <w:lang w:bidi="ar-SA"/>
        </w:rPr>
        <w:t>, accessed 22 March 2022</w:t>
      </w:r>
    </w:p>
    <w:p w14:paraId="537DBA05" w14:textId="77777777" w:rsidR="00FA09CD" w:rsidRDefault="00FA09CD" w:rsidP="00FA09CD">
      <w:pPr>
        <w:rPr>
          <w:lang w:bidi="ar-SA"/>
        </w:rPr>
      </w:pPr>
    </w:p>
    <w:p w14:paraId="4ADF4DBE" w14:textId="77777777" w:rsidR="00FA09CD" w:rsidRDefault="00FA09CD" w:rsidP="00FA09CD">
      <w:pPr>
        <w:rPr>
          <w:rFonts w:cs="Arial"/>
        </w:rPr>
      </w:pPr>
      <w:r w:rsidRPr="001D53EE">
        <w:rPr>
          <w:rFonts w:cs="Arial"/>
        </w:rPr>
        <w:t>Jeang CL, Lee YH, Chang LW (1995) Purification and characterization of a raw-starch digesting amylase from a soil bacterium-</w:t>
      </w:r>
      <w:r w:rsidRPr="001D53EE">
        <w:rPr>
          <w:rFonts w:cs="Arial"/>
          <w:i/>
        </w:rPr>
        <w:t>Cytophaga</w:t>
      </w:r>
      <w:r w:rsidRPr="001D53EE">
        <w:rPr>
          <w:rFonts w:cs="Arial"/>
        </w:rPr>
        <w:t xml:space="preserve"> sp. Biochem. Mol. Biol. Int. 35:549-557</w:t>
      </w:r>
    </w:p>
    <w:p w14:paraId="53492096" w14:textId="72569348" w:rsidR="00CB112B" w:rsidRPr="00FA09CD" w:rsidRDefault="00CB112B" w:rsidP="00FA09CD">
      <w:pPr>
        <w:rPr>
          <w:rFonts w:cs="Arial"/>
        </w:rPr>
      </w:pPr>
      <w:r>
        <w:rPr>
          <w:lang w:bidi="ar-SA"/>
        </w:rPr>
        <w:t>Kroschwitz, J.I., 1994. Enzyme Applications in Encyclopedia of Chemical Technology, 4th ed</w:t>
      </w:r>
      <w:r w:rsidR="00FA09CD">
        <w:rPr>
          <w:lang w:bidi="ar-SA"/>
        </w:rPr>
        <w:t xml:space="preserve">. </w:t>
      </w:r>
      <w:r>
        <w:rPr>
          <w:lang w:bidi="ar-SA"/>
        </w:rPr>
        <w:t xml:space="preserve"> </w:t>
      </w:r>
      <w:r w:rsidR="00FA09CD">
        <w:rPr>
          <w:lang w:bidi="ar-SA"/>
        </w:rPr>
        <w:t xml:space="preserve">Vol </w:t>
      </w:r>
      <w:r>
        <w:rPr>
          <w:lang w:bidi="ar-SA"/>
        </w:rPr>
        <w:t>9</w:t>
      </w:r>
      <w:r w:rsidR="00FA09CD">
        <w:rPr>
          <w:lang w:bidi="ar-SA"/>
        </w:rPr>
        <w:t xml:space="preserve">, pg </w:t>
      </w:r>
      <w:r>
        <w:rPr>
          <w:lang w:bidi="ar-SA"/>
        </w:rPr>
        <w:t>567-620</w:t>
      </w:r>
    </w:p>
    <w:p w14:paraId="41D4E347" w14:textId="77777777" w:rsidR="00A0635C" w:rsidRPr="001D53EE" w:rsidRDefault="00A0635C" w:rsidP="00FA09CD">
      <w:pPr>
        <w:rPr>
          <w:rFonts w:cs="Arial"/>
        </w:rPr>
      </w:pPr>
    </w:p>
    <w:p w14:paraId="725EC6A2" w14:textId="75B852E9" w:rsidR="0057773D" w:rsidRDefault="0057773D" w:rsidP="00FA09CD">
      <w:pPr>
        <w:rPr>
          <w:rFonts w:cs="Arial"/>
        </w:rPr>
      </w:pPr>
      <w:r>
        <w:t>Logan NA (2012) Bacillus and relatives in foodborne illness. J Appl Microbiol 112(3): 417-29.</w:t>
      </w:r>
    </w:p>
    <w:p w14:paraId="7D233712" w14:textId="77777777" w:rsidR="0057773D" w:rsidRDefault="0057773D" w:rsidP="00FA09CD">
      <w:pPr>
        <w:rPr>
          <w:rFonts w:cs="Arial"/>
        </w:rPr>
      </w:pPr>
    </w:p>
    <w:p w14:paraId="5A669504" w14:textId="77777777" w:rsidR="00A0635C" w:rsidRPr="001D53EE" w:rsidRDefault="00A0635C" w:rsidP="00FA09CD">
      <w:pPr>
        <w:rPr>
          <w:rFonts w:cs="Arial"/>
        </w:rPr>
      </w:pPr>
      <w:r w:rsidRPr="001D53EE">
        <w:rPr>
          <w:rFonts w:cs="Arial"/>
        </w:rPr>
        <w:t xml:space="preserve">Mayberger, JM (2011) Studies of genera </w:t>
      </w:r>
      <w:r w:rsidRPr="001D53EE">
        <w:rPr>
          <w:rFonts w:cs="Arial"/>
          <w:i/>
        </w:rPr>
        <w:t>Cytophaga</w:t>
      </w:r>
      <w:r w:rsidRPr="001D53EE">
        <w:rPr>
          <w:rFonts w:cs="Arial"/>
        </w:rPr>
        <w:t>-</w:t>
      </w:r>
      <w:r w:rsidRPr="001D53EE">
        <w:rPr>
          <w:rFonts w:cs="Arial"/>
          <w:i/>
        </w:rPr>
        <w:t>Flavobacterium</w:t>
      </w:r>
      <w:r w:rsidRPr="001D53EE">
        <w:rPr>
          <w:rFonts w:cs="Arial"/>
        </w:rPr>
        <w:t xml:space="preserve"> in context of the soil carbon cycle. Diss. Abstr. Int. 73, 1–115</w:t>
      </w:r>
    </w:p>
    <w:p w14:paraId="3E661A50" w14:textId="221F3ED6" w:rsidR="00FA09CD" w:rsidRDefault="00FA09CD" w:rsidP="00FA09CD">
      <w:pPr>
        <w:rPr>
          <w:rFonts w:cs="Arial"/>
          <w:lang w:eastAsia="en-AU"/>
        </w:rPr>
      </w:pPr>
    </w:p>
    <w:p w14:paraId="23BA5D34" w14:textId="2803DE89" w:rsidR="008D095D" w:rsidRDefault="008D095D" w:rsidP="008D095D">
      <w:pPr>
        <w:rPr>
          <w:rFonts w:cs="Arial"/>
          <w:lang w:eastAsia="en-AU"/>
        </w:rPr>
      </w:pPr>
      <w:r>
        <w:rPr>
          <w:rFonts w:cs="Arial"/>
          <w:lang w:eastAsia="en-AU"/>
        </w:rPr>
        <w:t>MPI Research (</w:t>
      </w:r>
      <w:r w:rsidRPr="008D095D">
        <w:rPr>
          <w:rFonts w:cs="Arial"/>
          <w:lang w:eastAsia="en-AU"/>
        </w:rPr>
        <w:t>2014</w:t>
      </w:r>
      <w:r>
        <w:rPr>
          <w:rFonts w:cs="Arial"/>
          <w:lang w:eastAsia="en-AU"/>
        </w:rPr>
        <w:t xml:space="preserve">) </w:t>
      </w:r>
      <w:r w:rsidRPr="008D095D">
        <w:rPr>
          <w:rFonts w:cs="Arial"/>
          <w:lang w:eastAsia="en-AU"/>
        </w:rPr>
        <w:t>Subchronic Toxicity 90-Day</w:t>
      </w:r>
      <w:r>
        <w:rPr>
          <w:rFonts w:cs="Arial"/>
          <w:lang w:eastAsia="en-AU"/>
        </w:rPr>
        <w:t xml:space="preserve"> </w:t>
      </w:r>
      <w:r w:rsidRPr="008D095D">
        <w:rPr>
          <w:rFonts w:cs="Arial"/>
          <w:lang w:eastAsia="en-AU"/>
        </w:rPr>
        <w:t>Oral Gavage Study in Rats</w:t>
      </w:r>
      <w:r>
        <w:rPr>
          <w:rFonts w:cs="Arial"/>
          <w:lang w:eastAsia="en-AU"/>
        </w:rPr>
        <w:t>. Study</w:t>
      </w:r>
      <w:r w:rsidRPr="008D095D">
        <w:rPr>
          <w:rFonts w:cs="Arial"/>
          <w:lang w:eastAsia="en-AU"/>
        </w:rPr>
        <w:t xml:space="preserve"> ID: DuPont-20558-1026</w:t>
      </w:r>
    </w:p>
    <w:p w14:paraId="4236409C" w14:textId="77777777" w:rsidR="008D095D" w:rsidRDefault="008D095D" w:rsidP="00FA09CD">
      <w:pPr>
        <w:rPr>
          <w:rFonts w:cs="Arial"/>
          <w:lang w:eastAsia="en-AU"/>
        </w:rPr>
      </w:pPr>
    </w:p>
    <w:p w14:paraId="2C6FA9DF" w14:textId="7A8C4EB9" w:rsidR="00A0635C" w:rsidRDefault="00A0635C" w:rsidP="00FA09CD">
      <w:pPr>
        <w:rPr>
          <w:rFonts w:cs="Arial"/>
          <w:lang w:eastAsia="en-AU"/>
        </w:rPr>
      </w:pPr>
      <w:r w:rsidRPr="001D53EE">
        <w:rPr>
          <w:rFonts w:cs="Arial"/>
          <w:lang w:eastAsia="en-AU"/>
        </w:rPr>
        <w:t xml:space="preserve">Muras A, Romero M, Mayer C, Otero A (2021) Biotechnological application of </w:t>
      </w:r>
      <w:r w:rsidRPr="001D53EE">
        <w:rPr>
          <w:rFonts w:cs="Arial"/>
          <w:i/>
          <w:lang w:eastAsia="en-AU"/>
        </w:rPr>
        <w:t>Bacillus licheniformis</w:t>
      </w:r>
      <w:r w:rsidRPr="001D53EE">
        <w:rPr>
          <w:rFonts w:cs="Arial"/>
          <w:lang w:eastAsia="en-AU"/>
        </w:rPr>
        <w:t>. Critical Reviews in Biotechnology 40(4): 609-627</w:t>
      </w:r>
    </w:p>
    <w:p w14:paraId="73B4FB67" w14:textId="1158C681" w:rsidR="008D095D" w:rsidRDefault="008D095D" w:rsidP="00FA09CD">
      <w:pPr>
        <w:rPr>
          <w:rFonts w:cs="Arial"/>
          <w:lang w:eastAsia="en-AU"/>
        </w:rPr>
      </w:pPr>
    </w:p>
    <w:p w14:paraId="15C4064D" w14:textId="2DBE2060" w:rsidR="008D095D" w:rsidRDefault="008D095D" w:rsidP="00FA09CD">
      <w:pPr>
        <w:rPr>
          <w:rFonts w:cs="Arial"/>
          <w:lang w:eastAsia="en-AU"/>
        </w:rPr>
      </w:pPr>
      <w:r w:rsidRPr="008D095D">
        <w:rPr>
          <w:rFonts w:cs="Arial"/>
          <w:lang w:eastAsia="en-AU"/>
        </w:rPr>
        <w:t>Poulsen LK. (2004) Allergy assessment of foods or ingredients derived from biotechnology, gene-modified organisms, or novel foods. Mol Nutr Food Res. 48(6):413-23</w:t>
      </w:r>
    </w:p>
    <w:p w14:paraId="6657BC52" w14:textId="77777777" w:rsidR="00FA09CD" w:rsidRDefault="00FA09CD" w:rsidP="00FA09CD">
      <w:pPr>
        <w:rPr>
          <w:rFonts w:cs="Arial"/>
        </w:rPr>
      </w:pPr>
    </w:p>
    <w:p w14:paraId="52D4ADAC" w14:textId="4742BCF4" w:rsidR="00A0635C" w:rsidRPr="001D53EE" w:rsidRDefault="00A0635C" w:rsidP="00FA09CD">
      <w:pPr>
        <w:rPr>
          <w:rFonts w:cs="Arial"/>
        </w:rPr>
      </w:pPr>
      <w:r w:rsidRPr="001D53EE">
        <w:rPr>
          <w:rFonts w:cs="Arial"/>
        </w:rPr>
        <w:t>Salkinoja-Salonen MS, Vuorio R, Andersson MA, Kämpfer P, Andersson MC, Honkanen-Buzalski T, Scoging AC (1999) Toxigenic Strains of Bacillus licheniformis Related to Food Poisoning. Appl Environ Microbiol. 65(10): 4637–4645</w:t>
      </w:r>
    </w:p>
    <w:p w14:paraId="5644DCBE" w14:textId="77777777" w:rsidR="00FA09CD" w:rsidRDefault="00FA09CD" w:rsidP="00FA09CD">
      <w:pPr>
        <w:rPr>
          <w:rFonts w:cs="Arial"/>
        </w:rPr>
      </w:pPr>
    </w:p>
    <w:p w14:paraId="44177B46" w14:textId="41B6909D" w:rsidR="00A0635C" w:rsidRPr="001D53EE" w:rsidRDefault="00A0635C" w:rsidP="00FA09CD">
      <w:pPr>
        <w:rPr>
          <w:rFonts w:cs="Arial"/>
        </w:rPr>
      </w:pPr>
      <w:r w:rsidRPr="001D53EE">
        <w:rPr>
          <w:rFonts w:cs="Arial"/>
        </w:rPr>
        <w:t xml:space="preserve">Sewalt VJ, Reyes TF, and Bui Q (2018) Safety evaluation of two α-amylase enzyme preparations derived from </w:t>
      </w:r>
      <w:r w:rsidRPr="001D53EE">
        <w:rPr>
          <w:rFonts w:cs="Arial"/>
          <w:i/>
        </w:rPr>
        <w:t>Bacillus licheniformis</w:t>
      </w:r>
      <w:r w:rsidRPr="001D53EE">
        <w:rPr>
          <w:rFonts w:cs="Arial"/>
        </w:rPr>
        <w:t xml:space="preserve"> expressing an α-amylase gene from </w:t>
      </w:r>
      <w:r w:rsidRPr="001D53EE">
        <w:rPr>
          <w:rFonts w:cs="Arial"/>
          <w:i/>
        </w:rPr>
        <w:t>Cytophaga</w:t>
      </w:r>
      <w:r w:rsidRPr="001D53EE">
        <w:rPr>
          <w:rFonts w:cs="Arial"/>
        </w:rPr>
        <w:t xml:space="preserve"> species. Reg</w:t>
      </w:r>
      <w:r w:rsidR="00853879">
        <w:rPr>
          <w:rFonts w:cs="Arial"/>
        </w:rPr>
        <w:t>ul</w:t>
      </w:r>
      <w:r w:rsidRPr="001D53EE">
        <w:rPr>
          <w:rFonts w:cs="Arial"/>
        </w:rPr>
        <w:t xml:space="preserve"> Toxicol Pharmacol</w:t>
      </w:r>
      <w:r w:rsidR="00853879">
        <w:rPr>
          <w:rFonts w:cs="Arial"/>
        </w:rPr>
        <w:t>.</w:t>
      </w:r>
      <w:r w:rsidRPr="001D53EE">
        <w:rPr>
          <w:rFonts w:cs="Arial"/>
        </w:rPr>
        <w:t xml:space="preserve"> 98:140-150</w:t>
      </w:r>
    </w:p>
    <w:p w14:paraId="3FAEE7E9" w14:textId="77777777" w:rsidR="00FA09CD" w:rsidRDefault="00FA09CD" w:rsidP="00FA09CD">
      <w:pPr>
        <w:rPr>
          <w:rFonts w:cs="Arial"/>
        </w:rPr>
      </w:pPr>
    </w:p>
    <w:p w14:paraId="53E0F376" w14:textId="24FD9B21" w:rsidR="00A0635C" w:rsidRPr="00FA09CD" w:rsidRDefault="00A0635C" w:rsidP="00FA09CD">
      <w:pPr>
        <w:rPr>
          <w:rFonts w:cs="Arial"/>
        </w:rPr>
      </w:pPr>
      <w:r w:rsidRPr="00FA09CD">
        <w:rPr>
          <w:rFonts w:cs="Arial"/>
        </w:rPr>
        <w:t>Whitman WB (2009) Bergey’s Manual of Systematic Bacteriology</w:t>
      </w:r>
      <w:r w:rsidR="00FA09CD">
        <w:rPr>
          <w:rFonts w:cs="Arial"/>
        </w:rPr>
        <w:t>.</w:t>
      </w:r>
      <w:r w:rsidRPr="00FA09CD">
        <w:rPr>
          <w:rFonts w:cs="Arial"/>
        </w:rPr>
        <w:t xml:space="preserve"> Volume 3</w:t>
      </w:r>
      <w:r w:rsidR="00FA09CD">
        <w:rPr>
          <w:rFonts w:cs="Arial"/>
        </w:rPr>
        <w:t xml:space="preserve"> The Firmicutes</w:t>
      </w:r>
      <w:r w:rsidRPr="00FA09CD">
        <w:rPr>
          <w:rFonts w:cs="Arial"/>
        </w:rPr>
        <w:t>, 2</w:t>
      </w:r>
      <w:r w:rsidR="00FA09CD">
        <w:rPr>
          <w:rFonts w:cs="Arial"/>
        </w:rPr>
        <w:t xml:space="preserve">nd Ed. Springer, </w:t>
      </w:r>
      <w:r w:rsidRPr="00FA09CD">
        <w:rPr>
          <w:rFonts w:cs="Arial"/>
        </w:rPr>
        <w:t>New York</w:t>
      </w:r>
    </w:p>
    <w:p w14:paraId="0D7DFC28" w14:textId="77777777" w:rsidR="00A0635C" w:rsidRPr="00D90AFB" w:rsidRDefault="00A0635C" w:rsidP="00CB112B">
      <w:pPr>
        <w:rPr>
          <w:lang w:bidi="ar-SA"/>
        </w:rPr>
      </w:pPr>
    </w:p>
    <w:sectPr w:rsidR="00A0635C" w:rsidRPr="00D90AFB"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62A84" w14:textId="77777777" w:rsidR="000F5124" w:rsidRDefault="000F5124">
      <w:r>
        <w:separator/>
      </w:r>
    </w:p>
  </w:endnote>
  <w:endnote w:type="continuationSeparator" w:id="0">
    <w:p w14:paraId="559FFDFD" w14:textId="77777777" w:rsidR="000F5124" w:rsidRDefault="000F5124">
      <w:r>
        <w:continuationSeparator/>
      </w:r>
    </w:p>
  </w:endnote>
  <w:endnote w:type="continuationNotice" w:id="1">
    <w:p w14:paraId="20971790" w14:textId="77777777" w:rsidR="000F5124" w:rsidRDefault="000F5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6E7433FF" w:rsidR="001909F9" w:rsidRDefault="001909F9" w:rsidP="007C31F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1909F9" w:rsidRDefault="001909F9" w:rsidP="007A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0F3210DC" w:rsidR="001909F9" w:rsidRDefault="001909F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F9B">
      <w:rPr>
        <w:rStyle w:val="PageNumber"/>
        <w:noProof/>
      </w:rPr>
      <w:t>i</w:t>
    </w:r>
    <w:r>
      <w:rPr>
        <w:rStyle w:val="PageNumber"/>
      </w:rPr>
      <w:fldChar w:fldCharType="end"/>
    </w:r>
  </w:p>
  <w:p w14:paraId="3B547F5C" w14:textId="77777777" w:rsidR="001909F9" w:rsidRDefault="001909F9" w:rsidP="007A0F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6FF5" w14:textId="77777777" w:rsidR="000F5124" w:rsidRDefault="000F5124">
      <w:r>
        <w:separator/>
      </w:r>
    </w:p>
  </w:footnote>
  <w:footnote w:type="continuationSeparator" w:id="0">
    <w:p w14:paraId="1772EA73" w14:textId="77777777" w:rsidR="000F5124" w:rsidRDefault="000F5124">
      <w:r>
        <w:continuationSeparator/>
      </w:r>
    </w:p>
  </w:footnote>
  <w:footnote w:type="continuationNotice" w:id="1">
    <w:p w14:paraId="3E3AE777" w14:textId="77777777" w:rsidR="000F5124" w:rsidRDefault="000F5124"/>
  </w:footnote>
  <w:footnote w:id="2">
    <w:p w14:paraId="07BEF423" w14:textId="77777777" w:rsidR="001909F9" w:rsidRPr="008B2780" w:rsidRDefault="001909F9" w:rsidP="00C17B7B">
      <w:pPr>
        <w:pStyle w:val="FootnoteText"/>
        <w:rPr>
          <w:lang w:val="en-AU"/>
        </w:rPr>
      </w:pPr>
      <w:r>
        <w:rPr>
          <w:rStyle w:val="FootnoteReference"/>
        </w:rPr>
        <w:footnoteRef/>
      </w:r>
      <w:r>
        <w:t xml:space="preserve"> </w:t>
      </w:r>
      <w:r w:rsidRPr="008B2780">
        <w:t>International Union of Biochemistry and Molecular Biology</w:t>
      </w:r>
    </w:p>
  </w:footnote>
  <w:footnote w:id="3">
    <w:p w14:paraId="4A083C73" w14:textId="7E3D263B" w:rsidR="001909F9" w:rsidRPr="00F93182" w:rsidRDefault="001909F9">
      <w:pPr>
        <w:pStyle w:val="FootnoteText"/>
        <w:rPr>
          <w:lang w:val="en-AU"/>
        </w:rPr>
      </w:pPr>
      <w:r>
        <w:rPr>
          <w:rStyle w:val="FootnoteReference"/>
        </w:rPr>
        <w:footnoteRef/>
      </w:r>
      <w:r>
        <w:t xml:space="preserve"> </w:t>
      </w:r>
      <w:r w:rsidRPr="00F93182">
        <w:t xml:space="preserve">BRENDA is available at </w:t>
      </w:r>
      <w:hyperlink r:id="rId1" w:history="1">
        <w:r w:rsidRPr="00F93182">
          <w:rPr>
            <w:rStyle w:val="Hyperlink"/>
          </w:rPr>
          <w:t>www.brenda-enzymes.org</w:t>
        </w:r>
      </w:hyperlink>
    </w:p>
  </w:footnote>
  <w:footnote w:id="4">
    <w:p w14:paraId="79D3AAC2" w14:textId="6BC0AA95" w:rsidR="001909F9" w:rsidRPr="00C72E88" w:rsidRDefault="001909F9">
      <w:pPr>
        <w:pStyle w:val="FootnoteText"/>
        <w:rPr>
          <w:lang w:val="en-AU"/>
        </w:rPr>
      </w:pPr>
      <w:r>
        <w:rPr>
          <w:rStyle w:val="FootnoteReference"/>
        </w:rPr>
        <w:footnoteRef/>
      </w:r>
      <w:r>
        <w:t xml:space="preserve"> </w:t>
      </w:r>
      <w:r w:rsidRPr="00C72E88">
        <w:t>Enzymes are generally sold as enzyme preparations, which consist of the enzyme(s) and other ingredients, to facilitate their storage, sale, standardisation, dilution or dissolution.</w:t>
      </w:r>
    </w:p>
  </w:footnote>
  <w:footnote w:id="5">
    <w:p w14:paraId="71A96827" w14:textId="77777777" w:rsidR="001909F9" w:rsidRPr="00E36199" w:rsidRDefault="001909F9" w:rsidP="00B35861">
      <w:pPr>
        <w:pStyle w:val="FootnoteText"/>
        <w:rPr>
          <w:lang w:val="en-AU"/>
        </w:rPr>
      </w:pPr>
      <w:r w:rsidRPr="00E36199">
        <w:rPr>
          <w:rStyle w:val="FootnoteReference"/>
        </w:rPr>
        <w:footnoteRef/>
      </w:r>
      <w:r w:rsidRPr="00E36199">
        <w:t xml:space="preserve"> </w:t>
      </w:r>
      <w:r w:rsidRPr="009F03A1">
        <w:t>UniProt database:</w:t>
      </w:r>
      <w:r>
        <w:t xml:space="preserve"> </w:t>
      </w:r>
      <w:hyperlink r:id="rId2" w:history="1">
        <w:r w:rsidRPr="00E36199">
          <w:rPr>
            <w:rStyle w:val="Hyperlink"/>
          </w:rPr>
          <w:t>https://www.uniprot.org/</w:t>
        </w:r>
      </w:hyperlink>
    </w:p>
  </w:footnote>
  <w:footnote w:id="6">
    <w:p w14:paraId="0B0D97E8" w14:textId="77777777" w:rsidR="001909F9" w:rsidRPr="00E36199" w:rsidRDefault="001909F9" w:rsidP="00B35861">
      <w:pPr>
        <w:pStyle w:val="FootnoteText"/>
        <w:rPr>
          <w:lang w:val="en-AU"/>
        </w:rPr>
      </w:pPr>
      <w:r w:rsidRPr="00E36199">
        <w:rPr>
          <w:rStyle w:val="FootnoteReference"/>
        </w:rPr>
        <w:footnoteRef/>
      </w:r>
      <w:r w:rsidRPr="00E36199">
        <w:t xml:space="preserve"> The E value (or Expect value) indicates the significance of a match found when searching a sequence database. The closer an E value gets to zero, the less likely an alignment could have been produced by chance.</w:t>
      </w:r>
    </w:p>
  </w:footnote>
  <w:footnote w:id="7">
    <w:p w14:paraId="23895CF3" w14:textId="77777777" w:rsidR="001909F9" w:rsidRPr="00DC2D41" w:rsidRDefault="001909F9" w:rsidP="00B35861">
      <w:pPr>
        <w:pStyle w:val="FootnoteText"/>
        <w:rPr>
          <w:lang w:val="en-AU"/>
        </w:rPr>
      </w:pPr>
      <w:r w:rsidRPr="00E36199">
        <w:rPr>
          <w:rStyle w:val="FootnoteReference"/>
        </w:rPr>
        <w:footnoteRef/>
      </w:r>
      <w:r w:rsidRPr="00E36199">
        <w:t xml:space="preserve"> </w:t>
      </w:r>
      <w:r w:rsidRPr="009F03A1">
        <w:t xml:space="preserve">UniProt </w:t>
      </w:r>
      <w:r>
        <w:t xml:space="preserve">toxins </w:t>
      </w:r>
      <w:r w:rsidRPr="009F03A1">
        <w:t>database</w:t>
      </w:r>
      <w:r>
        <w:t xml:space="preserve">: </w:t>
      </w:r>
      <w:hyperlink r:id="rId3" w:history="1">
        <w:r w:rsidRPr="009F03A1">
          <w:rPr>
            <w:rStyle w:val="Hyperlink"/>
          </w:rPr>
          <w:t>https://www.uniprot.org/program/Toxins</w:t>
        </w:r>
      </w:hyperlink>
    </w:p>
  </w:footnote>
  <w:footnote w:id="8">
    <w:p w14:paraId="74EF09DD" w14:textId="77777777" w:rsidR="001909F9" w:rsidRPr="00E36199" w:rsidRDefault="001909F9" w:rsidP="00A92B6C">
      <w:pPr>
        <w:pStyle w:val="FootnoteText"/>
        <w:rPr>
          <w:lang w:val="en-AU"/>
        </w:rPr>
      </w:pPr>
      <w:r w:rsidRPr="00E36199">
        <w:rPr>
          <w:rStyle w:val="FootnoteReference"/>
        </w:rPr>
        <w:footnoteRef/>
      </w:r>
      <w:r w:rsidRPr="00E36199">
        <w:t xml:space="preserve"> </w:t>
      </w:r>
      <w:r>
        <w:t>AllergenOnline</w:t>
      </w:r>
      <w:r w:rsidRPr="00E36199">
        <w:t>:</w:t>
      </w:r>
      <w:r>
        <w:t xml:space="preserve"> </w:t>
      </w:r>
      <w:hyperlink r:id="rId4" w:history="1">
        <w:r w:rsidRPr="00E36199">
          <w:rPr>
            <w:rStyle w:val="Hyperlink"/>
          </w:rPr>
          <w:t>http://www.allergenonline.org/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63412309" w:rsidR="001909F9" w:rsidRDefault="001909F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08A"/>
    <w:multiLevelType w:val="hybridMultilevel"/>
    <w:tmpl w:val="BEBCE76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878AB"/>
    <w:multiLevelType w:val="hybridMultilevel"/>
    <w:tmpl w:val="91F29E22"/>
    <w:lvl w:ilvl="0" w:tplc="24D69E6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C3170"/>
    <w:multiLevelType w:val="hybridMultilevel"/>
    <w:tmpl w:val="943AF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4BB05C4F"/>
    <w:multiLevelType w:val="hybridMultilevel"/>
    <w:tmpl w:val="33165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76B135EB"/>
    <w:multiLevelType w:val="hybridMultilevel"/>
    <w:tmpl w:val="7F88E5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776B2544"/>
    <w:multiLevelType w:val="multilevel"/>
    <w:tmpl w:val="AE1024E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20"/>
  </w:num>
  <w:num w:numId="6">
    <w:abstractNumId w:val="10"/>
  </w:num>
  <w:num w:numId="7">
    <w:abstractNumId w:val="4"/>
  </w:num>
  <w:num w:numId="8">
    <w:abstractNumId w:val="8"/>
  </w:num>
  <w:num w:numId="9">
    <w:abstractNumId w:val="21"/>
  </w:num>
  <w:num w:numId="10">
    <w:abstractNumId w:val="9"/>
  </w:num>
  <w:num w:numId="11">
    <w:abstractNumId w:val="5"/>
  </w:num>
  <w:num w:numId="12">
    <w:abstractNumId w:val="16"/>
  </w:num>
  <w:num w:numId="13">
    <w:abstractNumId w:val="9"/>
  </w:num>
  <w:num w:numId="14">
    <w:abstractNumId w:val="6"/>
  </w:num>
  <w:num w:numId="15">
    <w:abstractNumId w:val="15"/>
  </w:num>
  <w:num w:numId="16">
    <w:abstractNumId w:val="11"/>
  </w:num>
  <w:num w:numId="17">
    <w:abstractNumId w:val="0"/>
  </w:num>
  <w:num w:numId="18">
    <w:abstractNumId w:val="18"/>
  </w:num>
  <w:num w:numId="19">
    <w:abstractNumId w:val="17"/>
  </w:num>
  <w:num w:numId="20">
    <w:abstractNumId w:val="13"/>
  </w:num>
  <w:num w:numId="21">
    <w:abstractNumId w:val="12"/>
  </w:num>
  <w:num w:numId="22">
    <w:abstractNumId w:val="1"/>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11A"/>
    <w:rsid w:val="00006E83"/>
    <w:rsid w:val="00011015"/>
    <w:rsid w:val="00012C5C"/>
    <w:rsid w:val="000166F5"/>
    <w:rsid w:val="0002280D"/>
    <w:rsid w:val="00023867"/>
    <w:rsid w:val="00025BCB"/>
    <w:rsid w:val="00031045"/>
    <w:rsid w:val="00031D7D"/>
    <w:rsid w:val="00034296"/>
    <w:rsid w:val="000350C8"/>
    <w:rsid w:val="00035FF3"/>
    <w:rsid w:val="00036D50"/>
    <w:rsid w:val="00040779"/>
    <w:rsid w:val="000448CC"/>
    <w:rsid w:val="000504B2"/>
    <w:rsid w:val="00050A2F"/>
    <w:rsid w:val="00051021"/>
    <w:rsid w:val="00051D00"/>
    <w:rsid w:val="00051ED9"/>
    <w:rsid w:val="0005380F"/>
    <w:rsid w:val="00054480"/>
    <w:rsid w:val="000544D6"/>
    <w:rsid w:val="00054E1D"/>
    <w:rsid w:val="00055C23"/>
    <w:rsid w:val="00057181"/>
    <w:rsid w:val="00060FE8"/>
    <w:rsid w:val="00062989"/>
    <w:rsid w:val="0006473A"/>
    <w:rsid w:val="00064937"/>
    <w:rsid w:val="00064B2D"/>
    <w:rsid w:val="000656E1"/>
    <w:rsid w:val="00065E98"/>
    <w:rsid w:val="00065F1F"/>
    <w:rsid w:val="000661D1"/>
    <w:rsid w:val="000663D3"/>
    <w:rsid w:val="00067084"/>
    <w:rsid w:val="0007030F"/>
    <w:rsid w:val="0007040D"/>
    <w:rsid w:val="0007145B"/>
    <w:rsid w:val="0007291E"/>
    <w:rsid w:val="00075E88"/>
    <w:rsid w:val="00076D33"/>
    <w:rsid w:val="00084919"/>
    <w:rsid w:val="00087B69"/>
    <w:rsid w:val="00087EFA"/>
    <w:rsid w:val="00090C86"/>
    <w:rsid w:val="00091742"/>
    <w:rsid w:val="00092CDA"/>
    <w:rsid w:val="00093855"/>
    <w:rsid w:val="00093E7E"/>
    <w:rsid w:val="00095A54"/>
    <w:rsid w:val="000A14E9"/>
    <w:rsid w:val="000A17A8"/>
    <w:rsid w:val="000A1E81"/>
    <w:rsid w:val="000A27E9"/>
    <w:rsid w:val="000A38C8"/>
    <w:rsid w:val="000A3D8B"/>
    <w:rsid w:val="000A3FCD"/>
    <w:rsid w:val="000A5DF8"/>
    <w:rsid w:val="000A62C3"/>
    <w:rsid w:val="000A77E3"/>
    <w:rsid w:val="000B5751"/>
    <w:rsid w:val="000B594B"/>
    <w:rsid w:val="000B6AF2"/>
    <w:rsid w:val="000C15B0"/>
    <w:rsid w:val="000C183E"/>
    <w:rsid w:val="000C3587"/>
    <w:rsid w:val="000C370B"/>
    <w:rsid w:val="000C4991"/>
    <w:rsid w:val="000C4E5F"/>
    <w:rsid w:val="000C5180"/>
    <w:rsid w:val="000C63AD"/>
    <w:rsid w:val="000C6D74"/>
    <w:rsid w:val="000C6EFC"/>
    <w:rsid w:val="000D21FF"/>
    <w:rsid w:val="000D2E00"/>
    <w:rsid w:val="000D5CDD"/>
    <w:rsid w:val="000D6FD4"/>
    <w:rsid w:val="000D7DC0"/>
    <w:rsid w:val="000D7E57"/>
    <w:rsid w:val="000E0AE4"/>
    <w:rsid w:val="000E3DBC"/>
    <w:rsid w:val="000E4EBA"/>
    <w:rsid w:val="000E6DE2"/>
    <w:rsid w:val="000E7409"/>
    <w:rsid w:val="000E7ABE"/>
    <w:rsid w:val="000F2C6E"/>
    <w:rsid w:val="000F3894"/>
    <w:rsid w:val="000F5124"/>
    <w:rsid w:val="000F660B"/>
    <w:rsid w:val="00102335"/>
    <w:rsid w:val="001023FB"/>
    <w:rsid w:val="00102AFE"/>
    <w:rsid w:val="00104E2F"/>
    <w:rsid w:val="001055B3"/>
    <w:rsid w:val="00107EB0"/>
    <w:rsid w:val="0011182F"/>
    <w:rsid w:val="00112098"/>
    <w:rsid w:val="00112336"/>
    <w:rsid w:val="0011283F"/>
    <w:rsid w:val="0011324C"/>
    <w:rsid w:val="00113C05"/>
    <w:rsid w:val="00113CE3"/>
    <w:rsid w:val="00113F77"/>
    <w:rsid w:val="00114AFC"/>
    <w:rsid w:val="00117522"/>
    <w:rsid w:val="00120638"/>
    <w:rsid w:val="00120D3A"/>
    <w:rsid w:val="00121D9F"/>
    <w:rsid w:val="00125694"/>
    <w:rsid w:val="001264D3"/>
    <w:rsid w:val="00126704"/>
    <w:rsid w:val="00131E5F"/>
    <w:rsid w:val="00133044"/>
    <w:rsid w:val="00135005"/>
    <w:rsid w:val="0013502D"/>
    <w:rsid w:val="001362BC"/>
    <w:rsid w:val="001426F6"/>
    <w:rsid w:val="00143EDA"/>
    <w:rsid w:val="00145051"/>
    <w:rsid w:val="00145C32"/>
    <w:rsid w:val="00151245"/>
    <w:rsid w:val="001516A3"/>
    <w:rsid w:val="001542D8"/>
    <w:rsid w:val="00160294"/>
    <w:rsid w:val="00163B4D"/>
    <w:rsid w:val="00164D4E"/>
    <w:rsid w:val="00167F19"/>
    <w:rsid w:val="00170449"/>
    <w:rsid w:val="001808F7"/>
    <w:rsid w:val="00180C41"/>
    <w:rsid w:val="00182C4C"/>
    <w:rsid w:val="00186CE4"/>
    <w:rsid w:val="00186ECA"/>
    <w:rsid w:val="00187237"/>
    <w:rsid w:val="00190460"/>
    <w:rsid w:val="001909F9"/>
    <w:rsid w:val="0019100F"/>
    <w:rsid w:val="001927C1"/>
    <w:rsid w:val="00193053"/>
    <w:rsid w:val="00195967"/>
    <w:rsid w:val="0019741C"/>
    <w:rsid w:val="00197D8D"/>
    <w:rsid w:val="001A0708"/>
    <w:rsid w:val="001A101F"/>
    <w:rsid w:val="001A1A75"/>
    <w:rsid w:val="001A1C5D"/>
    <w:rsid w:val="001A592B"/>
    <w:rsid w:val="001A6097"/>
    <w:rsid w:val="001A7E9A"/>
    <w:rsid w:val="001B1EA6"/>
    <w:rsid w:val="001B26E9"/>
    <w:rsid w:val="001B70AD"/>
    <w:rsid w:val="001B70F7"/>
    <w:rsid w:val="001C0BAB"/>
    <w:rsid w:val="001C0CD2"/>
    <w:rsid w:val="001C27A3"/>
    <w:rsid w:val="001C3CD3"/>
    <w:rsid w:val="001C5295"/>
    <w:rsid w:val="001C6769"/>
    <w:rsid w:val="001D146E"/>
    <w:rsid w:val="001D22D2"/>
    <w:rsid w:val="001D248C"/>
    <w:rsid w:val="001D7A17"/>
    <w:rsid w:val="001D7C88"/>
    <w:rsid w:val="001E09FA"/>
    <w:rsid w:val="001E3002"/>
    <w:rsid w:val="001E3AE8"/>
    <w:rsid w:val="001E459C"/>
    <w:rsid w:val="001E4D21"/>
    <w:rsid w:val="001E604D"/>
    <w:rsid w:val="001E6794"/>
    <w:rsid w:val="001E6A7B"/>
    <w:rsid w:val="001E72B8"/>
    <w:rsid w:val="001F061E"/>
    <w:rsid w:val="001F2503"/>
    <w:rsid w:val="001F2E30"/>
    <w:rsid w:val="001F30E1"/>
    <w:rsid w:val="001F3D7E"/>
    <w:rsid w:val="001F74B6"/>
    <w:rsid w:val="00203540"/>
    <w:rsid w:val="002059C8"/>
    <w:rsid w:val="002075D5"/>
    <w:rsid w:val="00211BE1"/>
    <w:rsid w:val="00213ACE"/>
    <w:rsid w:val="0021612B"/>
    <w:rsid w:val="00220677"/>
    <w:rsid w:val="0022083A"/>
    <w:rsid w:val="00221445"/>
    <w:rsid w:val="00221D07"/>
    <w:rsid w:val="00223913"/>
    <w:rsid w:val="00223E6B"/>
    <w:rsid w:val="00224098"/>
    <w:rsid w:val="00225088"/>
    <w:rsid w:val="00226206"/>
    <w:rsid w:val="00227E4A"/>
    <w:rsid w:val="00233ADC"/>
    <w:rsid w:val="0024582E"/>
    <w:rsid w:val="00245C56"/>
    <w:rsid w:val="0024696E"/>
    <w:rsid w:val="002471A6"/>
    <w:rsid w:val="00250082"/>
    <w:rsid w:val="00250F95"/>
    <w:rsid w:val="002519C8"/>
    <w:rsid w:val="002547EF"/>
    <w:rsid w:val="00255D24"/>
    <w:rsid w:val="00256D65"/>
    <w:rsid w:val="00261BCA"/>
    <w:rsid w:val="00262D8E"/>
    <w:rsid w:val="00262F44"/>
    <w:rsid w:val="00264133"/>
    <w:rsid w:val="00265D02"/>
    <w:rsid w:val="00266554"/>
    <w:rsid w:val="00271AB3"/>
    <w:rsid w:val="00271F00"/>
    <w:rsid w:val="0027300B"/>
    <w:rsid w:val="00273A80"/>
    <w:rsid w:val="0028007F"/>
    <w:rsid w:val="002811F4"/>
    <w:rsid w:val="00283559"/>
    <w:rsid w:val="002836C0"/>
    <w:rsid w:val="00285948"/>
    <w:rsid w:val="00285CF5"/>
    <w:rsid w:val="00286D3A"/>
    <w:rsid w:val="00286D4A"/>
    <w:rsid w:val="00287CCB"/>
    <w:rsid w:val="0029006B"/>
    <w:rsid w:val="0029204E"/>
    <w:rsid w:val="0029216A"/>
    <w:rsid w:val="0029292A"/>
    <w:rsid w:val="00293EC0"/>
    <w:rsid w:val="002942C5"/>
    <w:rsid w:val="00295C44"/>
    <w:rsid w:val="0029631C"/>
    <w:rsid w:val="00296841"/>
    <w:rsid w:val="002A0194"/>
    <w:rsid w:val="002A0B87"/>
    <w:rsid w:val="002A15A6"/>
    <w:rsid w:val="002A3314"/>
    <w:rsid w:val="002A5290"/>
    <w:rsid w:val="002A5F8B"/>
    <w:rsid w:val="002A6CA9"/>
    <w:rsid w:val="002A7019"/>
    <w:rsid w:val="002A7437"/>
    <w:rsid w:val="002A77F4"/>
    <w:rsid w:val="002A7F6C"/>
    <w:rsid w:val="002B13CF"/>
    <w:rsid w:val="002B22F8"/>
    <w:rsid w:val="002B4811"/>
    <w:rsid w:val="002B5037"/>
    <w:rsid w:val="002B5881"/>
    <w:rsid w:val="002B59CF"/>
    <w:rsid w:val="002B69FF"/>
    <w:rsid w:val="002B7BB7"/>
    <w:rsid w:val="002C227E"/>
    <w:rsid w:val="002C2E41"/>
    <w:rsid w:val="002C394D"/>
    <w:rsid w:val="002C3A98"/>
    <w:rsid w:val="002C3C61"/>
    <w:rsid w:val="002C4053"/>
    <w:rsid w:val="002C425D"/>
    <w:rsid w:val="002C447B"/>
    <w:rsid w:val="002C5C5E"/>
    <w:rsid w:val="002C78AE"/>
    <w:rsid w:val="002D0994"/>
    <w:rsid w:val="002D1249"/>
    <w:rsid w:val="002D16D5"/>
    <w:rsid w:val="002D2813"/>
    <w:rsid w:val="002D3667"/>
    <w:rsid w:val="002D4682"/>
    <w:rsid w:val="002D6809"/>
    <w:rsid w:val="002E11BC"/>
    <w:rsid w:val="002E14E1"/>
    <w:rsid w:val="002E1C77"/>
    <w:rsid w:val="002E42A3"/>
    <w:rsid w:val="002E5C5A"/>
    <w:rsid w:val="002E6364"/>
    <w:rsid w:val="002E698A"/>
    <w:rsid w:val="002E6AC7"/>
    <w:rsid w:val="002E6E8D"/>
    <w:rsid w:val="002E740B"/>
    <w:rsid w:val="002F26BE"/>
    <w:rsid w:val="002F27B6"/>
    <w:rsid w:val="002F4D76"/>
    <w:rsid w:val="002F6488"/>
    <w:rsid w:val="002F7084"/>
    <w:rsid w:val="002F7E92"/>
    <w:rsid w:val="0030076F"/>
    <w:rsid w:val="00302801"/>
    <w:rsid w:val="00302F66"/>
    <w:rsid w:val="00310ED7"/>
    <w:rsid w:val="0031203C"/>
    <w:rsid w:val="00314403"/>
    <w:rsid w:val="00316416"/>
    <w:rsid w:val="00320839"/>
    <w:rsid w:val="00320E08"/>
    <w:rsid w:val="003213F9"/>
    <w:rsid w:val="003235C3"/>
    <w:rsid w:val="00323DBF"/>
    <w:rsid w:val="00326D85"/>
    <w:rsid w:val="003304EA"/>
    <w:rsid w:val="003309A8"/>
    <w:rsid w:val="003326FD"/>
    <w:rsid w:val="00332B12"/>
    <w:rsid w:val="003368BA"/>
    <w:rsid w:val="00336B25"/>
    <w:rsid w:val="003370AE"/>
    <w:rsid w:val="003371FC"/>
    <w:rsid w:val="00337783"/>
    <w:rsid w:val="003400B0"/>
    <w:rsid w:val="00340237"/>
    <w:rsid w:val="00340EB7"/>
    <w:rsid w:val="00341494"/>
    <w:rsid w:val="00341B32"/>
    <w:rsid w:val="00345FF5"/>
    <w:rsid w:val="00347A1D"/>
    <w:rsid w:val="0035149D"/>
    <w:rsid w:val="00351B07"/>
    <w:rsid w:val="00352C64"/>
    <w:rsid w:val="00352CF2"/>
    <w:rsid w:val="00353F35"/>
    <w:rsid w:val="003561F5"/>
    <w:rsid w:val="00356330"/>
    <w:rsid w:val="00360CC1"/>
    <w:rsid w:val="00361613"/>
    <w:rsid w:val="00363BA9"/>
    <w:rsid w:val="00364841"/>
    <w:rsid w:val="0036721D"/>
    <w:rsid w:val="00367617"/>
    <w:rsid w:val="0037063D"/>
    <w:rsid w:val="00370C9B"/>
    <w:rsid w:val="003714DC"/>
    <w:rsid w:val="00371B29"/>
    <w:rsid w:val="00371FFA"/>
    <w:rsid w:val="0037210D"/>
    <w:rsid w:val="00373910"/>
    <w:rsid w:val="00375904"/>
    <w:rsid w:val="00375EFC"/>
    <w:rsid w:val="0037656B"/>
    <w:rsid w:val="00376787"/>
    <w:rsid w:val="0038298A"/>
    <w:rsid w:val="00385E10"/>
    <w:rsid w:val="00385EFD"/>
    <w:rsid w:val="00386205"/>
    <w:rsid w:val="00387F3C"/>
    <w:rsid w:val="00391769"/>
    <w:rsid w:val="00394010"/>
    <w:rsid w:val="003953E1"/>
    <w:rsid w:val="003956B3"/>
    <w:rsid w:val="00396395"/>
    <w:rsid w:val="003965C1"/>
    <w:rsid w:val="00396FEF"/>
    <w:rsid w:val="003A1639"/>
    <w:rsid w:val="003A2BB7"/>
    <w:rsid w:val="003A68BE"/>
    <w:rsid w:val="003A76CC"/>
    <w:rsid w:val="003B0180"/>
    <w:rsid w:val="003B0861"/>
    <w:rsid w:val="003B10E7"/>
    <w:rsid w:val="003B1805"/>
    <w:rsid w:val="003B1F0D"/>
    <w:rsid w:val="003B2C60"/>
    <w:rsid w:val="003B35EE"/>
    <w:rsid w:val="003B3C9D"/>
    <w:rsid w:val="003B6B11"/>
    <w:rsid w:val="003B78E0"/>
    <w:rsid w:val="003C1F1D"/>
    <w:rsid w:val="003C2888"/>
    <w:rsid w:val="003C4969"/>
    <w:rsid w:val="003D03F9"/>
    <w:rsid w:val="003D3847"/>
    <w:rsid w:val="003E264A"/>
    <w:rsid w:val="003E337F"/>
    <w:rsid w:val="003E41D5"/>
    <w:rsid w:val="003E4482"/>
    <w:rsid w:val="003E44B5"/>
    <w:rsid w:val="003E46BA"/>
    <w:rsid w:val="003E57B5"/>
    <w:rsid w:val="003E7D22"/>
    <w:rsid w:val="003E7DB8"/>
    <w:rsid w:val="003F254D"/>
    <w:rsid w:val="003F67C8"/>
    <w:rsid w:val="003F74C1"/>
    <w:rsid w:val="003F77E2"/>
    <w:rsid w:val="003F79EC"/>
    <w:rsid w:val="00401071"/>
    <w:rsid w:val="00401B6A"/>
    <w:rsid w:val="004036C3"/>
    <w:rsid w:val="00403DC2"/>
    <w:rsid w:val="00405B1A"/>
    <w:rsid w:val="00406454"/>
    <w:rsid w:val="0040722C"/>
    <w:rsid w:val="0041000C"/>
    <w:rsid w:val="00410C76"/>
    <w:rsid w:val="00411907"/>
    <w:rsid w:val="00412FD9"/>
    <w:rsid w:val="00413958"/>
    <w:rsid w:val="00413CA8"/>
    <w:rsid w:val="00413F41"/>
    <w:rsid w:val="00415983"/>
    <w:rsid w:val="00416303"/>
    <w:rsid w:val="00416FBD"/>
    <w:rsid w:val="00417EE3"/>
    <w:rsid w:val="004207EB"/>
    <w:rsid w:val="004209A7"/>
    <w:rsid w:val="00423AC2"/>
    <w:rsid w:val="00425CF4"/>
    <w:rsid w:val="0042612E"/>
    <w:rsid w:val="004269C1"/>
    <w:rsid w:val="004325B0"/>
    <w:rsid w:val="00435466"/>
    <w:rsid w:val="00436116"/>
    <w:rsid w:val="00437276"/>
    <w:rsid w:val="00441EB8"/>
    <w:rsid w:val="00442E37"/>
    <w:rsid w:val="004443A1"/>
    <w:rsid w:val="00444AFF"/>
    <w:rsid w:val="00450631"/>
    <w:rsid w:val="00450898"/>
    <w:rsid w:val="0045158B"/>
    <w:rsid w:val="00451BFF"/>
    <w:rsid w:val="004524D9"/>
    <w:rsid w:val="00452BBD"/>
    <w:rsid w:val="00455DD4"/>
    <w:rsid w:val="00456411"/>
    <w:rsid w:val="00456B54"/>
    <w:rsid w:val="00457937"/>
    <w:rsid w:val="00457C8D"/>
    <w:rsid w:val="00461491"/>
    <w:rsid w:val="004624C3"/>
    <w:rsid w:val="00462C09"/>
    <w:rsid w:val="00463A74"/>
    <w:rsid w:val="00464643"/>
    <w:rsid w:val="00464759"/>
    <w:rsid w:val="00471008"/>
    <w:rsid w:val="00471BAE"/>
    <w:rsid w:val="00474ADA"/>
    <w:rsid w:val="0047616E"/>
    <w:rsid w:val="004761BD"/>
    <w:rsid w:val="004768F0"/>
    <w:rsid w:val="0048348F"/>
    <w:rsid w:val="0048379E"/>
    <w:rsid w:val="00483F11"/>
    <w:rsid w:val="00483FCB"/>
    <w:rsid w:val="0048559C"/>
    <w:rsid w:val="00486793"/>
    <w:rsid w:val="00487C80"/>
    <w:rsid w:val="00490E81"/>
    <w:rsid w:val="00492650"/>
    <w:rsid w:val="004942E3"/>
    <w:rsid w:val="00496A02"/>
    <w:rsid w:val="00496C53"/>
    <w:rsid w:val="00497A62"/>
    <w:rsid w:val="00497FE9"/>
    <w:rsid w:val="004A2037"/>
    <w:rsid w:val="004A2E9B"/>
    <w:rsid w:val="004A3870"/>
    <w:rsid w:val="004A44F1"/>
    <w:rsid w:val="004A583E"/>
    <w:rsid w:val="004B089F"/>
    <w:rsid w:val="004B0EC3"/>
    <w:rsid w:val="004B63D9"/>
    <w:rsid w:val="004B777D"/>
    <w:rsid w:val="004C06B5"/>
    <w:rsid w:val="004C0DFC"/>
    <w:rsid w:val="004C2CE7"/>
    <w:rsid w:val="004C4CCD"/>
    <w:rsid w:val="004C644D"/>
    <w:rsid w:val="004C66A1"/>
    <w:rsid w:val="004C7338"/>
    <w:rsid w:val="004D2A16"/>
    <w:rsid w:val="004D33F3"/>
    <w:rsid w:val="004D37D6"/>
    <w:rsid w:val="004D6C41"/>
    <w:rsid w:val="004E0066"/>
    <w:rsid w:val="004E2060"/>
    <w:rsid w:val="004E21DE"/>
    <w:rsid w:val="004E2ABC"/>
    <w:rsid w:val="004E4151"/>
    <w:rsid w:val="004E730E"/>
    <w:rsid w:val="004F2192"/>
    <w:rsid w:val="004F2193"/>
    <w:rsid w:val="004F45FE"/>
    <w:rsid w:val="004F4F98"/>
    <w:rsid w:val="004F508D"/>
    <w:rsid w:val="004F69F6"/>
    <w:rsid w:val="004F79AC"/>
    <w:rsid w:val="005017CF"/>
    <w:rsid w:val="00501993"/>
    <w:rsid w:val="005037D1"/>
    <w:rsid w:val="00505990"/>
    <w:rsid w:val="00505AC5"/>
    <w:rsid w:val="005071E5"/>
    <w:rsid w:val="00510AF4"/>
    <w:rsid w:val="00514AAF"/>
    <w:rsid w:val="00517922"/>
    <w:rsid w:val="00517EFC"/>
    <w:rsid w:val="005207D8"/>
    <w:rsid w:val="00521717"/>
    <w:rsid w:val="00522136"/>
    <w:rsid w:val="00522449"/>
    <w:rsid w:val="00524FF6"/>
    <w:rsid w:val="005251A4"/>
    <w:rsid w:val="0052627B"/>
    <w:rsid w:val="00530EE8"/>
    <w:rsid w:val="00531AC3"/>
    <w:rsid w:val="005326D5"/>
    <w:rsid w:val="005332F4"/>
    <w:rsid w:val="005345AA"/>
    <w:rsid w:val="0053464E"/>
    <w:rsid w:val="00536195"/>
    <w:rsid w:val="00537C7B"/>
    <w:rsid w:val="0054057E"/>
    <w:rsid w:val="0054272D"/>
    <w:rsid w:val="005443E8"/>
    <w:rsid w:val="00544506"/>
    <w:rsid w:val="0054759D"/>
    <w:rsid w:val="00547C95"/>
    <w:rsid w:val="00550E3D"/>
    <w:rsid w:val="00551114"/>
    <w:rsid w:val="00552C29"/>
    <w:rsid w:val="00554E43"/>
    <w:rsid w:val="0055568B"/>
    <w:rsid w:val="005561C3"/>
    <w:rsid w:val="00556661"/>
    <w:rsid w:val="00556B80"/>
    <w:rsid w:val="00557BBF"/>
    <w:rsid w:val="00562917"/>
    <w:rsid w:val="00562FEA"/>
    <w:rsid w:val="00563FB6"/>
    <w:rsid w:val="0056409D"/>
    <w:rsid w:val="005653EE"/>
    <w:rsid w:val="0056561E"/>
    <w:rsid w:val="005661EA"/>
    <w:rsid w:val="0056664C"/>
    <w:rsid w:val="005700C4"/>
    <w:rsid w:val="005740F5"/>
    <w:rsid w:val="0057455F"/>
    <w:rsid w:val="0057615C"/>
    <w:rsid w:val="00576266"/>
    <w:rsid w:val="005762DD"/>
    <w:rsid w:val="0057773D"/>
    <w:rsid w:val="00577DD7"/>
    <w:rsid w:val="00577FE1"/>
    <w:rsid w:val="0058211A"/>
    <w:rsid w:val="0058277D"/>
    <w:rsid w:val="00582B48"/>
    <w:rsid w:val="00585B00"/>
    <w:rsid w:val="00586228"/>
    <w:rsid w:val="005A19DD"/>
    <w:rsid w:val="005A1D97"/>
    <w:rsid w:val="005A58F3"/>
    <w:rsid w:val="005A74FE"/>
    <w:rsid w:val="005B2BB4"/>
    <w:rsid w:val="005B3394"/>
    <w:rsid w:val="005B42E7"/>
    <w:rsid w:val="005B6317"/>
    <w:rsid w:val="005B6AF4"/>
    <w:rsid w:val="005B7A73"/>
    <w:rsid w:val="005C04CB"/>
    <w:rsid w:val="005C0C71"/>
    <w:rsid w:val="005C3196"/>
    <w:rsid w:val="005C33F0"/>
    <w:rsid w:val="005C49BE"/>
    <w:rsid w:val="005C552F"/>
    <w:rsid w:val="005C6049"/>
    <w:rsid w:val="005C6FFB"/>
    <w:rsid w:val="005D1598"/>
    <w:rsid w:val="005D16AD"/>
    <w:rsid w:val="005D1B37"/>
    <w:rsid w:val="005D3CCA"/>
    <w:rsid w:val="005D54D4"/>
    <w:rsid w:val="005D63C8"/>
    <w:rsid w:val="005D72E1"/>
    <w:rsid w:val="005E150C"/>
    <w:rsid w:val="005E2C43"/>
    <w:rsid w:val="005E3364"/>
    <w:rsid w:val="005E3BF3"/>
    <w:rsid w:val="005E572D"/>
    <w:rsid w:val="005E6E16"/>
    <w:rsid w:val="005E70F8"/>
    <w:rsid w:val="005F0223"/>
    <w:rsid w:val="005F022B"/>
    <w:rsid w:val="005F034D"/>
    <w:rsid w:val="005F0BF4"/>
    <w:rsid w:val="005F0D5E"/>
    <w:rsid w:val="005F0EF6"/>
    <w:rsid w:val="005F1D88"/>
    <w:rsid w:val="005F221D"/>
    <w:rsid w:val="005F2522"/>
    <w:rsid w:val="005F2545"/>
    <w:rsid w:val="005F3F22"/>
    <w:rsid w:val="005F400E"/>
    <w:rsid w:val="005F5C7D"/>
    <w:rsid w:val="005F6A5B"/>
    <w:rsid w:val="005F7342"/>
    <w:rsid w:val="005F7B13"/>
    <w:rsid w:val="006000E8"/>
    <w:rsid w:val="00600A07"/>
    <w:rsid w:val="00602311"/>
    <w:rsid w:val="00603778"/>
    <w:rsid w:val="00603A08"/>
    <w:rsid w:val="0060683F"/>
    <w:rsid w:val="00610A3C"/>
    <w:rsid w:val="00613B8A"/>
    <w:rsid w:val="00613EFC"/>
    <w:rsid w:val="00615612"/>
    <w:rsid w:val="00616238"/>
    <w:rsid w:val="00616D76"/>
    <w:rsid w:val="00617531"/>
    <w:rsid w:val="006176FC"/>
    <w:rsid w:val="00624549"/>
    <w:rsid w:val="00627191"/>
    <w:rsid w:val="00627EA1"/>
    <w:rsid w:val="00627F48"/>
    <w:rsid w:val="00630C23"/>
    <w:rsid w:val="006330CE"/>
    <w:rsid w:val="00633B73"/>
    <w:rsid w:val="006343ED"/>
    <w:rsid w:val="006359E9"/>
    <w:rsid w:val="00640C6C"/>
    <w:rsid w:val="00640C77"/>
    <w:rsid w:val="00642DBD"/>
    <w:rsid w:val="006433E1"/>
    <w:rsid w:val="00643A03"/>
    <w:rsid w:val="00644504"/>
    <w:rsid w:val="006460AB"/>
    <w:rsid w:val="00650AA6"/>
    <w:rsid w:val="00650ED1"/>
    <w:rsid w:val="006510A9"/>
    <w:rsid w:val="00651C87"/>
    <w:rsid w:val="00652372"/>
    <w:rsid w:val="0065324B"/>
    <w:rsid w:val="00653CFF"/>
    <w:rsid w:val="0065574F"/>
    <w:rsid w:val="00656417"/>
    <w:rsid w:val="00656D56"/>
    <w:rsid w:val="0065740D"/>
    <w:rsid w:val="00661B10"/>
    <w:rsid w:val="00661CF6"/>
    <w:rsid w:val="00661DFB"/>
    <w:rsid w:val="00662E7B"/>
    <w:rsid w:val="00663045"/>
    <w:rsid w:val="006638A5"/>
    <w:rsid w:val="00663FCF"/>
    <w:rsid w:val="006652A2"/>
    <w:rsid w:val="00665E22"/>
    <w:rsid w:val="00672250"/>
    <w:rsid w:val="00672EC8"/>
    <w:rsid w:val="00675CDF"/>
    <w:rsid w:val="00676F26"/>
    <w:rsid w:val="006814C9"/>
    <w:rsid w:val="006818F2"/>
    <w:rsid w:val="006859D6"/>
    <w:rsid w:val="0068669A"/>
    <w:rsid w:val="00686B55"/>
    <w:rsid w:val="00687937"/>
    <w:rsid w:val="00690206"/>
    <w:rsid w:val="00691270"/>
    <w:rsid w:val="00692DFF"/>
    <w:rsid w:val="0069360D"/>
    <w:rsid w:val="006937FF"/>
    <w:rsid w:val="00693870"/>
    <w:rsid w:val="00694FC9"/>
    <w:rsid w:val="006A132A"/>
    <w:rsid w:val="006A2582"/>
    <w:rsid w:val="006A2E22"/>
    <w:rsid w:val="006A48A7"/>
    <w:rsid w:val="006A660C"/>
    <w:rsid w:val="006A768B"/>
    <w:rsid w:val="006B00F9"/>
    <w:rsid w:val="006B0595"/>
    <w:rsid w:val="006B064F"/>
    <w:rsid w:val="006B4BA1"/>
    <w:rsid w:val="006B5EBE"/>
    <w:rsid w:val="006B6108"/>
    <w:rsid w:val="006B64E9"/>
    <w:rsid w:val="006C1F7F"/>
    <w:rsid w:val="006C2320"/>
    <w:rsid w:val="006C25FE"/>
    <w:rsid w:val="006C5509"/>
    <w:rsid w:val="006C5CF5"/>
    <w:rsid w:val="006D011E"/>
    <w:rsid w:val="006D26DC"/>
    <w:rsid w:val="006D5CF7"/>
    <w:rsid w:val="006D6C8E"/>
    <w:rsid w:val="006D6FA5"/>
    <w:rsid w:val="006E7841"/>
    <w:rsid w:val="006F012D"/>
    <w:rsid w:val="006F4A82"/>
    <w:rsid w:val="006F60FC"/>
    <w:rsid w:val="006F6339"/>
    <w:rsid w:val="00700BEA"/>
    <w:rsid w:val="0070373B"/>
    <w:rsid w:val="00703F32"/>
    <w:rsid w:val="007047B8"/>
    <w:rsid w:val="00704D7B"/>
    <w:rsid w:val="007100EB"/>
    <w:rsid w:val="0071214E"/>
    <w:rsid w:val="0071305C"/>
    <w:rsid w:val="007139C4"/>
    <w:rsid w:val="007142EC"/>
    <w:rsid w:val="0071508C"/>
    <w:rsid w:val="007159D8"/>
    <w:rsid w:val="00716BC6"/>
    <w:rsid w:val="00720214"/>
    <w:rsid w:val="007207E9"/>
    <w:rsid w:val="0072301D"/>
    <w:rsid w:val="0072423A"/>
    <w:rsid w:val="00724889"/>
    <w:rsid w:val="00724FA4"/>
    <w:rsid w:val="00725004"/>
    <w:rsid w:val="007259A1"/>
    <w:rsid w:val="007263BE"/>
    <w:rsid w:val="007271AB"/>
    <w:rsid w:val="00730024"/>
    <w:rsid w:val="00730584"/>
    <w:rsid w:val="00730800"/>
    <w:rsid w:val="00734359"/>
    <w:rsid w:val="00735F71"/>
    <w:rsid w:val="0073651F"/>
    <w:rsid w:val="00737E73"/>
    <w:rsid w:val="00741CF8"/>
    <w:rsid w:val="0074388F"/>
    <w:rsid w:val="007451CF"/>
    <w:rsid w:val="00745A88"/>
    <w:rsid w:val="00747D8C"/>
    <w:rsid w:val="0075130A"/>
    <w:rsid w:val="007514AA"/>
    <w:rsid w:val="00752EB4"/>
    <w:rsid w:val="00756F47"/>
    <w:rsid w:val="007572A9"/>
    <w:rsid w:val="00757375"/>
    <w:rsid w:val="00757F01"/>
    <w:rsid w:val="007602AA"/>
    <w:rsid w:val="00760F3A"/>
    <w:rsid w:val="00761903"/>
    <w:rsid w:val="00761CF0"/>
    <w:rsid w:val="00761F0B"/>
    <w:rsid w:val="00764218"/>
    <w:rsid w:val="007652EF"/>
    <w:rsid w:val="00765327"/>
    <w:rsid w:val="00767225"/>
    <w:rsid w:val="00770AE0"/>
    <w:rsid w:val="00772BDC"/>
    <w:rsid w:val="0077356D"/>
    <w:rsid w:val="00774F02"/>
    <w:rsid w:val="007751E9"/>
    <w:rsid w:val="00776BE9"/>
    <w:rsid w:val="00777538"/>
    <w:rsid w:val="007804EA"/>
    <w:rsid w:val="00780792"/>
    <w:rsid w:val="007846A2"/>
    <w:rsid w:val="00785050"/>
    <w:rsid w:val="00785459"/>
    <w:rsid w:val="007904EC"/>
    <w:rsid w:val="007907C0"/>
    <w:rsid w:val="0079127D"/>
    <w:rsid w:val="0079411F"/>
    <w:rsid w:val="00795950"/>
    <w:rsid w:val="00796562"/>
    <w:rsid w:val="007967C7"/>
    <w:rsid w:val="007A04CF"/>
    <w:rsid w:val="007A058F"/>
    <w:rsid w:val="007A0F9B"/>
    <w:rsid w:val="007A39E8"/>
    <w:rsid w:val="007A3B39"/>
    <w:rsid w:val="007A3CC6"/>
    <w:rsid w:val="007A4051"/>
    <w:rsid w:val="007A44B4"/>
    <w:rsid w:val="007A57FC"/>
    <w:rsid w:val="007A7D3D"/>
    <w:rsid w:val="007B1854"/>
    <w:rsid w:val="007B225D"/>
    <w:rsid w:val="007B3858"/>
    <w:rsid w:val="007B4445"/>
    <w:rsid w:val="007B4D09"/>
    <w:rsid w:val="007B7E5A"/>
    <w:rsid w:val="007C0171"/>
    <w:rsid w:val="007C174F"/>
    <w:rsid w:val="007C1C64"/>
    <w:rsid w:val="007C31FF"/>
    <w:rsid w:val="007C3511"/>
    <w:rsid w:val="007C53AD"/>
    <w:rsid w:val="007C7665"/>
    <w:rsid w:val="007C7FB1"/>
    <w:rsid w:val="007D03EA"/>
    <w:rsid w:val="007D27DA"/>
    <w:rsid w:val="007D393F"/>
    <w:rsid w:val="007D4DE3"/>
    <w:rsid w:val="007D6A40"/>
    <w:rsid w:val="007D708E"/>
    <w:rsid w:val="007E2638"/>
    <w:rsid w:val="007E31BD"/>
    <w:rsid w:val="007E321F"/>
    <w:rsid w:val="007E48BC"/>
    <w:rsid w:val="007E4AE2"/>
    <w:rsid w:val="007E608A"/>
    <w:rsid w:val="007E6F98"/>
    <w:rsid w:val="007E79F7"/>
    <w:rsid w:val="007F156B"/>
    <w:rsid w:val="007F1D4D"/>
    <w:rsid w:val="007F3630"/>
    <w:rsid w:val="007F604C"/>
    <w:rsid w:val="007F7C04"/>
    <w:rsid w:val="0080116F"/>
    <w:rsid w:val="00801784"/>
    <w:rsid w:val="00801803"/>
    <w:rsid w:val="00802EE2"/>
    <w:rsid w:val="0080499E"/>
    <w:rsid w:val="00807559"/>
    <w:rsid w:val="0081418C"/>
    <w:rsid w:val="0081502B"/>
    <w:rsid w:val="00816B58"/>
    <w:rsid w:val="008178FC"/>
    <w:rsid w:val="008213D2"/>
    <w:rsid w:val="00821C0E"/>
    <w:rsid w:val="008250F0"/>
    <w:rsid w:val="00831C4D"/>
    <w:rsid w:val="008342CD"/>
    <w:rsid w:val="0083789E"/>
    <w:rsid w:val="00840186"/>
    <w:rsid w:val="00840542"/>
    <w:rsid w:val="0084428C"/>
    <w:rsid w:val="008450BC"/>
    <w:rsid w:val="008451D2"/>
    <w:rsid w:val="00847398"/>
    <w:rsid w:val="008508FC"/>
    <w:rsid w:val="00852697"/>
    <w:rsid w:val="0085334B"/>
    <w:rsid w:val="00853879"/>
    <w:rsid w:val="0085655B"/>
    <w:rsid w:val="0086425C"/>
    <w:rsid w:val="008648F7"/>
    <w:rsid w:val="008651BF"/>
    <w:rsid w:val="008662BB"/>
    <w:rsid w:val="00870214"/>
    <w:rsid w:val="00872C63"/>
    <w:rsid w:val="0087368F"/>
    <w:rsid w:val="00876F6B"/>
    <w:rsid w:val="00877BA6"/>
    <w:rsid w:val="00882FF2"/>
    <w:rsid w:val="008834B1"/>
    <w:rsid w:val="00885C51"/>
    <w:rsid w:val="00885EB0"/>
    <w:rsid w:val="008864AE"/>
    <w:rsid w:val="00886CEF"/>
    <w:rsid w:val="00891F4B"/>
    <w:rsid w:val="00892249"/>
    <w:rsid w:val="0089264A"/>
    <w:rsid w:val="008950F8"/>
    <w:rsid w:val="00895634"/>
    <w:rsid w:val="00896B85"/>
    <w:rsid w:val="008A1F77"/>
    <w:rsid w:val="008A22BE"/>
    <w:rsid w:val="008A2329"/>
    <w:rsid w:val="008A46D5"/>
    <w:rsid w:val="008A56B3"/>
    <w:rsid w:val="008A7A0E"/>
    <w:rsid w:val="008A7AF9"/>
    <w:rsid w:val="008B2D8A"/>
    <w:rsid w:val="008B36B0"/>
    <w:rsid w:val="008B3962"/>
    <w:rsid w:val="008B4596"/>
    <w:rsid w:val="008B4664"/>
    <w:rsid w:val="008C1A60"/>
    <w:rsid w:val="008C1B36"/>
    <w:rsid w:val="008C5904"/>
    <w:rsid w:val="008C7B55"/>
    <w:rsid w:val="008D0006"/>
    <w:rsid w:val="008D0084"/>
    <w:rsid w:val="008D06C6"/>
    <w:rsid w:val="008D095D"/>
    <w:rsid w:val="008D16C4"/>
    <w:rsid w:val="008D22FA"/>
    <w:rsid w:val="008D2E09"/>
    <w:rsid w:val="008D5293"/>
    <w:rsid w:val="008D7C77"/>
    <w:rsid w:val="008E0080"/>
    <w:rsid w:val="008E5799"/>
    <w:rsid w:val="008E6250"/>
    <w:rsid w:val="008E6802"/>
    <w:rsid w:val="008F0779"/>
    <w:rsid w:val="008F1DAB"/>
    <w:rsid w:val="008F791C"/>
    <w:rsid w:val="008F7CA5"/>
    <w:rsid w:val="008F7EC3"/>
    <w:rsid w:val="00901592"/>
    <w:rsid w:val="00902AF6"/>
    <w:rsid w:val="00902B5C"/>
    <w:rsid w:val="00911862"/>
    <w:rsid w:val="00912847"/>
    <w:rsid w:val="00912AD0"/>
    <w:rsid w:val="00913964"/>
    <w:rsid w:val="009169AD"/>
    <w:rsid w:val="00920249"/>
    <w:rsid w:val="00920C11"/>
    <w:rsid w:val="00923B2F"/>
    <w:rsid w:val="0092457D"/>
    <w:rsid w:val="00924C80"/>
    <w:rsid w:val="0092649D"/>
    <w:rsid w:val="00926D01"/>
    <w:rsid w:val="00927253"/>
    <w:rsid w:val="00932F14"/>
    <w:rsid w:val="00937651"/>
    <w:rsid w:val="00940AC2"/>
    <w:rsid w:val="0094247F"/>
    <w:rsid w:val="00942D60"/>
    <w:rsid w:val="00943001"/>
    <w:rsid w:val="0094475A"/>
    <w:rsid w:val="009459F0"/>
    <w:rsid w:val="00947B67"/>
    <w:rsid w:val="009503E1"/>
    <w:rsid w:val="009533AF"/>
    <w:rsid w:val="00954ACA"/>
    <w:rsid w:val="0096523B"/>
    <w:rsid w:val="00966EE3"/>
    <w:rsid w:val="00970CFA"/>
    <w:rsid w:val="00971352"/>
    <w:rsid w:val="00971898"/>
    <w:rsid w:val="00972D06"/>
    <w:rsid w:val="00975085"/>
    <w:rsid w:val="0097547C"/>
    <w:rsid w:val="00975AAB"/>
    <w:rsid w:val="00976B59"/>
    <w:rsid w:val="00977812"/>
    <w:rsid w:val="009823B2"/>
    <w:rsid w:val="00982474"/>
    <w:rsid w:val="0098263D"/>
    <w:rsid w:val="0098487D"/>
    <w:rsid w:val="0098537B"/>
    <w:rsid w:val="009856AD"/>
    <w:rsid w:val="00985DD0"/>
    <w:rsid w:val="00987CC1"/>
    <w:rsid w:val="00987E59"/>
    <w:rsid w:val="00991334"/>
    <w:rsid w:val="009925D0"/>
    <w:rsid w:val="00995842"/>
    <w:rsid w:val="009971DD"/>
    <w:rsid w:val="00997A1A"/>
    <w:rsid w:val="00997F43"/>
    <w:rsid w:val="009A148B"/>
    <w:rsid w:val="009A3108"/>
    <w:rsid w:val="009A391C"/>
    <w:rsid w:val="009A50F2"/>
    <w:rsid w:val="009A6EB7"/>
    <w:rsid w:val="009B1547"/>
    <w:rsid w:val="009B229A"/>
    <w:rsid w:val="009B2805"/>
    <w:rsid w:val="009B5098"/>
    <w:rsid w:val="009C2F65"/>
    <w:rsid w:val="009C5D04"/>
    <w:rsid w:val="009C6AFF"/>
    <w:rsid w:val="009C7293"/>
    <w:rsid w:val="009C7C03"/>
    <w:rsid w:val="009D15CF"/>
    <w:rsid w:val="009D1F6E"/>
    <w:rsid w:val="009D4143"/>
    <w:rsid w:val="009D4E6D"/>
    <w:rsid w:val="009E0576"/>
    <w:rsid w:val="009E0A61"/>
    <w:rsid w:val="009E3010"/>
    <w:rsid w:val="009E5D76"/>
    <w:rsid w:val="009F007E"/>
    <w:rsid w:val="009F1176"/>
    <w:rsid w:val="009F288E"/>
    <w:rsid w:val="009F702F"/>
    <w:rsid w:val="009F7065"/>
    <w:rsid w:val="009F76B5"/>
    <w:rsid w:val="009F7BEE"/>
    <w:rsid w:val="00A0071F"/>
    <w:rsid w:val="00A047CA"/>
    <w:rsid w:val="00A056B4"/>
    <w:rsid w:val="00A0635C"/>
    <w:rsid w:val="00A067E4"/>
    <w:rsid w:val="00A0751B"/>
    <w:rsid w:val="00A077AF"/>
    <w:rsid w:val="00A10534"/>
    <w:rsid w:val="00A10F1A"/>
    <w:rsid w:val="00A11419"/>
    <w:rsid w:val="00A11A4F"/>
    <w:rsid w:val="00A11E40"/>
    <w:rsid w:val="00A147EB"/>
    <w:rsid w:val="00A152D1"/>
    <w:rsid w:val="00A15EA3"/>
    <w:rsid w:val="00A17FB1"/>
    <w:rsid w:val="00A202A2"/>
    <w:rsid w:val="00A2622F"/>
    <w:rsid w:val="00A27C01"/>
    <w:rsid w:val="00A30707"/>
    <w:rsid w:val="00A316EA"/>
    <w:rsid w:val="00A32156"/>
    <w:rsid w:val="00A346E6"/>
    <w:rsid w:val="00A35EC6"/>
    <w:rsid w:val="00A367DF"/>
    <w:rsid w:val="00A36B06"/>
    <w:rsid w:val="00A4175D"/>
    <w:rsid w:val="00A44CAA"/>
    <w:rsid w:val="00A4525C"/>
    <w:rsid w:val="00A47DE4"/>
    <w:rsid w:val="00A5055F"/>
    <w:rsid w:val="00A5378B"/>
    <w:rsid w:val="00A54151"/>
    <w:rsid w:val="00A55B65"/>
    <w:rsid w:val="00A56DC7"/>
    <w:rsid w:val="00A57299"/>
    <w:rsid w:val="00A60797"/>
    <w:rsid w:val="00A60AE1"/>
    <w:rsid w:val="00A63653"/>
    <w:rsid w:val="00A65174"/>
    <w:rsid w:val="00A70443"/>
    <w:rsid w:val="00A70ED2"/>
    <w:rsid w:val="00A712B8"/>
    <w:rsid w:val="00A71AF5"/>
    <w:rsid w:val="00A72416"/>
    <w:rsid w:val="00A73810"/>
    <w:rsid w:val="00A74FD1"/>
    <w:rsid w:val="00A77BFA"/>
    <w:rsid w:val="00A77EF5"/>
    <w:rsid w:val="00A8082B"/>
    <w:rsid w:val="00A84A58"/>
    <w:rsid w:val="00A84C67"/>
    <w:rsid w:val="00A8742B"/>
    <w:rsid w:val="00A92002"/>
    <w:rsid w:val="00A92487"/>
    <w:rsid w:val="00A924F6"/>
    <w:rsid w:val="00A92B6C"/>
    <w:rsid w:val="00A930EA"/>
    <w:rsid w:val="00A932C0"/>
    <w:rsid w:val="00A93FBB"/>
    <w:rsid w:val="00A97AD5"/>
    <w:rsid w:val="00AA19C3"/>
    <w:rsid w:val="00AA21E0"/>
    <w:rsid w:val="00AA5D28"/>
    <w:rsid w:val="00AA7751"/>
    <w:rsid w:val="00AA78CC"/>
    <w:rsid w:val="00AA7A34"/>
    <w:rsid w:val="00AB0F14"/>
    <w:rsid w:val="00AB1301"/>
    <w:rsid w:val="00AB2C85"/>
    <w:rsid w:val="00AB47E7"/>
    <w:rsid w:val="00AB53D4"/>
    <w:rsid w:val="00AC39B3"/>
    <w:rsid w:val="00AD1642"/>
    <w:rsid w:val="00AD57EE"/>
    <w:rsid w:val="00AD6D33"/>
    <w:rsid w:val="00AD6F84"/>
    <w:rsid w:val="00AD720F"/>
    <w:rsid w:val="00AE0059"/>
    <w:rsid w:val="00AE086A"/>
    <w:rsid w:val="00AE0DF4"/>
    <w:rsid w:val="00AE46A8"/>
    <w:rsid w:val="00AE7155"/>
    <w:rsid w:val="00AE7195"/>
    <w:rsid w:val="00AF0509"/>
    <w:rsid w:val="00AF06FC"/>
    <w:rsid w:val="00AF3391"/>
    <w:rsid w:val="00AF387F"/>
    <w:rsid w:val="00AF4AD0"/>
    <w:rsid w:val="00AF6B73"/>
    <w:rsid w:val="00AF723B"/>
    <w:rsid w:val="00AF7E15"/>
    <w:rsid w:val="00B00515"/>
    <w:rsid w:val="00B00E7F"/>
    <w:rsid w:val="00B02FD7"/>
    <w:rsid w:val="00B037F5"/>
    <w:rsid w:val="00B07110"/>
    <w:rsid w:val="00B07897"/>
    <w:rsid w:val="00B102F1"/>
    <w:rsid w:val="00B10AD2"/>
    <w:rsid w:val="00B12F1E"/>
    <w:rsid w:val="00B15F4B"/>
    <w:rsid w:val="00B173DA"/>
    <w:rsid w:val="00B21359"/>
    <w:rsid w:val="00B21DCC"/>
    <w:rsid w:val="00B21DE9"/>
    <w:rsid w:val="00B226D3"/>
    <w:rsid w:val="00B25F37"/>
    <w:rsid w:val="00B26C7E"/>
    <w:rsid w:val="00B30E51"/>
    <w:rsid w:val="00B32A07"/>
    <w:rsid w:val="00B3442C"/>
    <w:rsid w:val="00B350F2"/>
    <w:rsid w:val="00B35861"/>
    <w:rsid w:val="00B37BF0"/>
    <w:rsid w:val="00B40B80"/>
    <w:rsid w:val="00B41258"/>
    <w:rsid w:val="00B44422"/>
    <w:rsid w:val="00B46AA7"/>
    <w:rsid w:val="00B46EA0"/>
    <w:rsid w:val="00B47E60"/>
    <w:rsid w:val="00B506C8"/>
    <w:rsid w:val="00B618B9"/>
    <w:rsid w:val="00B629D5"/>
    <w:rsid w:val="00B646A1"/>
    <w:rsid w:val="00B64C0C"/>
    <w:rsid w:val="00B64DD3"/>
    <w:rsid w:val="00B703B5"/>
    <w:rsid w:val="00B710CD"/>
    <w:rsid w:val="00B731D3"/>
    <w:rsid w:val="00B74CA6"/>
    <w:rsid w:val="00B777F5"/>
    <w:rsid w:val="00B8062E"/>
    <w:rsid w:val="00B828B9"/>
    <w:rsid w:val="00B82B49"/>
    <w:rsid w:val="00B832DD"/>
    <w:rsid w:val="00B833B0"/>
    <w:rsid w:val="00B839A3"/>
    <w:rsid w:val="00B84361"/>
    <w:rsid w:val="00B84BB0"/>
    <w:rsid w:val="00B85015"/>
    <w:rsid w:val="00B86669"/>
    <w:rsid w:val="00B869F5"/>
    <w:rsid w:val="00B87E23"/>
    <w:rsid w:val="00B902BD"/>
    <w:rsid w:val="00B90758"/>
    <w:rsid w:val="00B90B14"/>
    <w:rsid w:val="00B91C6F"/>
    <w:rsid w:val="00B91C91"/>
    <w:rsid w:val="00B949F0"/>
    <w:rsid w:val="00B94F71"/>
    <w:rsid w:val="00B960BA"/>
    <w:rsid w:val="00B9635E"/>
    <w:rsid w:val="00BA159A"/>
    <w:rsid w:val="00BA23E5"/>
    <w:rsid w:val="00BA24E2"/>
    <w:rsid w:val="00BA300B"/>
    <w:rsid w:val="00BA691F"/>
    <w:rsid w:val="00BB0443"/>
    <w:rsid w:val="00BB1504"/>
    <w:rsid w:val="00BB3EDA"/>
    <w:rsid w:val="00BB7B03"/>
    <w:rsid w:val="00BC4A7E"/>
    <w:rsid w:val="00BD180E"/>
    <w:rsid w:val="00BD1B7A"/>
    <w:rsid w:val="00BD2A39"/>
    <w:rsid w:val="00BD2E80"/>
    <w:rsid w:val="00BD59CB"/>
    <w:rsid w:val="00BE11B8"/>
    <w:rsid w:val="00BE25D7"/>
    <w:rsid w:val="00BE3D8C"/>
    <w:rsid w:val="00BE5643"/>
    <w:rsid w:val="00BE61C5"/>
    <w:rsid w:val="00BF02F4"/>
    <w:rsid w:val="00BF19EF"/>
    <w:rsid w:val="00BF3286"/>
    <w:rsid w:val="00BF4C28"/>
    <w:rsid w:val="00BF5CD9"/>
    <w:rsid w:val="00BF6956"/>
    <w:rsid w:val="00BF7FF0"/>
    <w:rsid w:val="00C0096D"/>
    <w:rsid w:val="00C0277B"/>
    <w:rsid w:val="00C036EE"/>
    <w:rsid w:val="00C04610"/>
    <w:rsid w:val="00C057F4"/>
    <w:rsid w:val="00C06675"/>
    <w:rsid w:val="00C066FD"/>
    <w:rsid w:val="00C07207"/>
    <w:rsid w:val="00C076F6"/>
    <w:rsid w:val="00C116A1"/>
    <w:rsid w:val="00C1249C"/>
    <w:rsid w:val="00C12502"/>
    <w:rsid w:val="00C148F5"/>
    <w:rsid w:val="00C15A6C"/>
    <w:rsid w:val="00C15D5E"/>
    <w:rsid w:val="00C1685F"/>
    <w:rsid w:val="00C1733F"/>
    <w:rsid w:val="00C17B7B"/>
    <w:rsid w:val="00C215A9"/>
    <w:rsid w:val="00C22E21"/>
    <w:rsid w:val="00C24308"/>
    <w:rsid w:val="00C2498E"/>
    <w:rsid w:val="00C2796F"/>
    <w:rsid w:val="00C30CA1"/>
    <w:rsid w:val="00C310A8"/>
    <w:rsid w:val="00C3136B"/>
    <w:rsid w:val="00C363B2"/>
    <w:rsid w:val="00C36578"/>
    <w:rsid w:val="00C37054"/>
    <w:rsid w:val="00C37B40"/>
    <w:rsid w:val="00C40AA5"/>
    <w:rsid w:val="00C41B2F"/>
    <w:rsid w:val="00C46F70"/>
    <w:rsid w:val="00C476D0"/>
    <w:rsid w:val="00C4772F"/>
    <w:rsid w:val="00C5160A"/>
    <w:rsid w:val="00C51990"/>
    <w:rsid w:val="00C53C06"/>
    <w:rsid w:val="00C55104"/>
    <w:rsid w:val="00C61AC1"/>
    <w:rsid w:val="00C647F1"/>
    <w:rsid w:val="00C7132C"/>
    <w:rsid w:val="00C71F2E"/>
    <w:rsid w:val="00C72E88"/>
    <w:rsid w:val="00C73E99"/>
    <w:rsid w:val="00C73EFE"/>
    <w:rsid w:val="00C768FC"/>
    <w:rsid w:val="00C76BC6"/>
    <w:rsid w:val="00C76D44"/>
    <w:rsid w:val="00C77E24"/>
    <w:rsid w:val="00C77E95"/>
    <w:rsid w:val="00C821E0"/>
    <w:rsid w:val="00C82692"/>
    <w:rsid w:val="00C83157"/>
    <w:rsid w:val="00C836E3"/>
    <w:rsid w:val="00C86577"/>
    <w:rsid w:val="00C866E0"/>
    <w:rsid w:val="00C9197F"/>
    <w:rsid w:val="00C92406"/>
    <w:rsid w:val="00C92E07"/>
    <w:rsid w:val="00C93C74"/>
    <w:rsid w:val="00C93CCD"/>
    <w:rsid w:val="00C94209"/>
    <w:rsid w:val="00C9647C"/>
    <w:rsid w:val="00C96868"/>
    <w:rsid w:val="00C96F33"/>
    <w:rsid w:val="00CA0416"/>
    <w:rsid w:val="00CA3849"/>
    <w:rsid w:val="00CA3967"/>
    <w:rsid w:val="00CA641D"/>
    <w:rsid w:val="00CA7E52"/>
    <w:rsid w:val="00CB112B"/>
    <w:rsid w:val="00CB1B2B"/>
    <w:rsid w:val="00CB386B"/>
    <w:rsid w:val="00CB4910"/>
    <w:rsid w:val="00CB4F25"/>
    <w:rsid w:val="00CB6CF6"/>
    <w:rsid w:val="00CC00DD"/>
    <w:rsid w:val="00CC022B"/>
    <w:rsid w:val="00CC560B"/>
    <w:rsid w:val="00CC6B3A"/>
    <w:rsid w:val="00CC71B8"/>
    <w:rsid w:val="00CC75E2"/>
    <w:rsid w:val="00CC7934"/>
    <w:rsid w:val="00CD071A"/>
    <w:rsid w:val="00CD0EE8"/>
    <w:rsid w:val="00CD46EB"/>
    <w:rsid w:val="00CD57C9"/>
    <w:rsid w:val="00CD63D6"/>
    <w:rsid w:val="00CD6965"/>
    <w:rsid w:val="00CD6DD3"/>
    <w:rsid w:val="00CD6EAE"/>
    <w:rsid w:val="00CD6F5B"/>
    <w:rsid w:val="00CD7B5F"/>
    <w:rsid w:val="00CD7EBF"/>
    <w:rsid w:val="00CE059E"/>
    <w:rsid w:val="00CE09F2"/>
    <w:rsid w:val="00CE61DE"/>
    <w:rsid w:val="00CE6C16"/>
    <w:rsid w:val="00CE7D5F"/>
    <w:rsid w:val="00CE7FBA"/>
    <w:rsid w:val="00CF1E6E"/>
    <w:rsid w:val="00CF1F2A"/>
    <w:rsid w:val="00CF702C"/>
    <w:rsid w:val="00CF7479"/>
    <w:rsid w:val="00CF7991"/>
    <w:rsid w:val="00D0026B"/>
    <w:rsid w:val="00D0073A"/>
    <w:rsid w:val="00D029A4"/>
    <w:rsid w:val="00D056F1"/>
    <w:rsid w:val="00D05F37"/>
    <w:rsid w:val="00D07D3F"/>
    <w:rsid w:val="00D11171"/>
    <w:rsid w:val="00D12658"/>
    <w:rsid w:val="00D135B9"/>
    <w:rsid w:val="00D1572E"/>
    <w:rsid w:val="00D15A2C"/>
    <w:rsid w:val="00D15E3A"/>
    <w:rsid w:val="00D168FF"/>
    <w:rsid w:val="00D16BA9"/>
    <w:rsid w:val="00D22A1A"/>
    <w:rsid w:val="00D22F3C"/>
    <w:rsid w:val="00D22F50"/>
    <w:rsid w:val="00D23D1B"/>
    <w:rsid w:val="00D23DB6"/>
    <w:rsid w:val="00D243C1"/>
    <w:rsid w:val="00D25759"/>
    <w:rsid w:val="00D25830"/>
    <w:rsid w:val="00D26796"/>
    <w:rsid w:val="00D27155"/>
    <w:rsid w:val="00D27A51"/>
    <w:rsid w:val="00D31406"/>
    <w:rsid w:val="00D3520C"/>
    <w:rsid w:val="00D35BA6"/>
    <w:rsid w:val="00D361EC"/>
    <w:rsid w:val="00D36531"/>
    <w:rsid w:val="00D4020F"/>
    <w:rsid w:val="00D40F6D"/>
    <w:rsid w:val="00D410BF"/>
    <w:rsid w:val="00D41429"/>
    <w:rsid w:val="00D418ED"/>
    <w:rsid w:val="00D41CB3"/>
    <w:rsid w:val="00D43590"/>
    <w:rsid w:val="00D43F9D"/>
    <w:rsid w:val="00D43FE6"/>
    <w:rsid w:val="00D4456E"/>
    <w:rsid w:val="00D449B3"/>
    <w:rsid w:val="00D50633"/>
    <w:rsid w:val="00D51A95"/>
    <w:rsid w:val="00D51D98"/>
    <w:rsid w:val="00D571E9"/>
    <w:rsid w:val="00D60568"/>
    <w:rsid w:val="00D60713"/>
    <w:rsid w:val="00D60B93"/>
    <w:rsid w:val="00D617AF"/>
    <w:rsid w:val="00D62033"/>
    <w:rsid w:val="00D626CA"/>
    <w:rsid w:val="00D67288"/>
    <w:rsid w:val="00D70C7A"/>
    <w:rsid w:val="00D760D5"/>
    <w:rsid w:val="00D810D3"/>
    <w:rsid w:val="00D81B3C"/>
    <w:rsid w:val="00D81D38"/>
    <w:rsid w:val="00D82516"/>
    <w:rsid w:val="00D83746"/>
    <w:rsid w:val="00D838D3"/>
    <w:rsid w:val="00D84524"/>
    <w:rsid w:val="00D8467D"/>
    <w:rsid w:val="00D85D91"/>
    <w:rsid w:val="00D85DE9"/>
    <w:rsid w:val="00D861A5"/>
    <w:rsid w:val="00D8785A"/>
    <w:rsid w:val="00D90AFB"/>
    <w:rsid w:val="00D934C6"/>
    <w:rsid w:val="00D954F1"/>
    <w:rsid w:val="00D9620E"/>
    <w:rsid w:val="00DA07F7"/>
    <w:rsid w:val="00DA085B"/>
    <w:rsid w:val="00DA0B03"/>
    <w:rsid w:val="00DA10A8"/>
    <w:rsid w:val="00DA2062"/>
    <w:rsid w:val="00DA51B9"/>
    <w:rsid w:val="00DA5D10"/>
    <w:rsid w:val="00DB15BB"/>
    <w:rsid w:val="00DB1E08"/>
    <w:rsid w:val="00DB2802"/>
    <w:rsid w:val="00DB2973"/>
    <w:rsid w:val="00DB3B24"/>
    <w:rsid w:val="00DC1B56"/>
    <w:rsid w:val="00DC2129"/>
    <w:rsid w:val="00DC38A5"/>
    <w:rsid w:val="00DC6570"/>
    <w:rsid w:val="00DC6E79"/>
    <w:rsid w:val="00DC7731"/>
    <w:rsid w:val="00DD0A32"/>
    <w:rsid w:val="00DD189E"/>
    <w:rsid w:val="00DD37FE"/>
    <w:rsid w:val="00DD3C5E"/>
    <w:rsid w:val="00DD455C"/>
    <w:rsid w:val="00DD6757"/>
    <w:rsid w:val="00DE07BF"/>
    <w:rsid w:val="00DE224D"/>
    <w:rsid w:val="00DE26C6"/>
    <w:rsid w:val="00DE377C"/>
    <w:rsid w:val="00DE62AF"/>
    <w:rsid w:val="00DE6809"/>
    <w:rsid w:val="00DE694B"/>
    <w:rsid w:val="00DE7C11"/>
    <w:rsid w:val="00DF0C0F"/>
    <w:rsid w:val="00DF25C3"/>
    <w:rsid w:val="00DF2F14"/>
    <w:rsid w:val="00DF47D6"/>
    <w:rsid w:val="00DF5289"/>
    <w:rsid w:val="00DF7EC0"/>
    <w:rsid w:val="00E001A9"/>
    <w:rsid w:val="00E027CA"/>
    <w:rsid w:val="00E04062"/>
    <w:rsid w:val="00E043B8"/>
    <w:rsid w:val="00E04AC6"/>
    <w:rsid w:val="00E063C6"/>
    <w:rsid w:val="00E066BA"/>
    <w:rsid w:val="00E06BC2"/>
    <w:rsid w:val="00E07327"/>
    <w:rsid w:val="00E07A08"/>
    <w:rsid w:val="00E12BE6"/>
    <w:rsid w:val="00E13522"/>
    <w:rsid w:val="00E14658"/>
    <w:rsid w:val="00E2003B"/>
    <w:rsid w:val="00E203C2"/>
    <w:rsid w:val="00E22525"/>
    <w:rsid w:val="00E279D8"/>
    <w:rsid w:val="00E3011E"/>
    <w:rsid w:val="00E307BD"/>
    <w:rsid w:val="00E30F13"/>
    <w:rsid w:val="00E319B1"/>
    <w:rsid w:val="00E32418"/>
    <w:rsid w:val="00E37396"/>
    <w:rsid w:val="00E40213"/>
    <w:rsid w:val="00E40B03"/>
    <w:rsid w:val="00E421B0"/>
    <w:rsid w:val="00E4237E"/>
    <w:rsid w:val="00E44E0D"/>
    <w:rsid w:val="00E46197"/>
    <w:rsid w:val="00E50741"/>
    <w:rsid w:val="00E521C3"/>
    <w:rsid w:val="00E523E8"/>
    <w:rsid w:val="00E5311B"/>
    <w:rsid w:val="00E53537"/>
    <w:rsid w:val="00E5492F"/>
    <w:rsid w:val="00E56177"/>
    <w:rsid w:val="00E56323"/>
    <w:rsid w:val="00E56D89"/>
    <w:rsid w:val="00E579A9"/>
    <w:rsid w:val="00E57D80"/>
    <w:rsid w:val="00E57FB4"/>
    <w:rsid w:val="00E60FB7"/>
    <w:rsid w:val="00E61992"/>
    <w:rsid w:val="00E62BF1"/>
    <w:rsid w:val="00E62D4D"/>
    <w:rsid w:val="00E62DEF"/>
    <w:rsid w:val="00E6483F"/>
    <w:rsid w:val="00E70549"/>
    <w:rsid w:val="00E70A86"/>
    <w:rsid w:val="00E73FE4"/>
    <w:rsid w:val="00E777EC"/>
    <w:rsid w:val="00E80FCD"/>
    <w:rsid w:val="00E81537"/>
    <w:rsid w:val="00E84109"/>
    <w:rsid w:val="00E86827"/>
    <w:rsid w:val="00E87F29"/>
    <w:rsid w:val="00E907B8"/>
    <w:rsid w:val="00E91694"/>
    <w:rsid w:val="00E91AED"/>
    <w:rsid w:val="00E9238F"/>
    <w:rsid w:val="00E92F1B"/>
    <w:rsid w:val="00E96E59"/>
    <w:rsid w:val="00E97484"/>
    <w:rsid w:val="00E97AE1"/>
    <w:rsid w:val="00EA2C70"/>
    <w:rsid w:val="00EA3F0A"/>
    <w:rsid w:val="00EA4300"/>
    <w:rsid w:val="00EA5322"/>
    <w:rsid w:val="00EA702B"/>
    <w:rsid w:val="00EA7F2F"/>
    <w:rsid w:val="00EB429D"/>
    <w:rsid w:val="00EB5CF3"/>
    <w:rsid w:val="00EC00DE"/>
    <w:rsid w:val="00EC0AF8"/>
    <w:rsid w:val="00EC30E1"/>
    <w:rsid w:val="00EC37FE"/>
    <w:rsid w:val="00EC3920"/>
    <w:rsid w:val="00ED0B9B"/>
    <w:rsid w:val="00ED172A"/>
    <w:rsid w:val="00ED1F66"/>
    <w:rsid w:val="00ED3063"/>
    <w:rsid w:val="00ED4EF4"/>
    <w:rsid w:val="00ED51B6"/>
    <w:rsid w:val="00ED537B"/>
    <w:rsid w:val="00ED5511"/>
    <w:rsid w:val="00ED6053"/>
    <w:rsid w:val="00EE05FF"/>
    <w:rsid w:val="00EE1EA5"/>
    <w:rsid w:val="00EE3D37"/>
    <w:rsid w:val="00EE5596"/>
    <w:rsid w:val="00EE7A64"/>
    <w:rsid w:val="00EF1CC2"/>
    <w:rsid w:val="00EF1D69"/>
    <w:rsid w:val="00EF32AE"/>
    <w:rsid w:val="00EF5E0F"/>
    <w:rsid w:val="00EF6823"/>
    <w:rsid w:val="00EF6B4F"/>
    <w:rsid w:val="00EF73D9"/>
    <w:rsid w:val="00EF7C98"/>
    <w:rsid w:val="00F00306"/>
    <w:rsid w:val="00F00B9A"/>
    <w:rsid w:val="00F05029"/>
    <w:rsid w:val="00F053D3"/>
    <w:rsid w:val="00F059EF"/>
    <w:rsid w:val="00F0620D"/>
    <w:rsid w:val="00F06AB9"/>
    <w:rsid w:val="00F077FF"/>
    <w:rsid w:val="00F11F6C"/>
    <w:rsid w:val="00F143C0"/>
    <w:rsid w:val="00F14BEC"/>
    <w:rsid w:val="00F155B9"/>
    <w:rsid w:val="00F16E53"/>
    <w:rsid w:val="00F17143"/>
    <w:rsid w:val="00F225C5"/>
    <w:rsid w:val="00F229C0"/>
    <w:rsid w:val="00F22B8C"/>
    <w:rsid w:val="00F24253"/>
    <w:rsid w:val="00F25056"/>
    <w:rsid w:val="00F2587A"/>
    <w:rsid w:val="00F3033E"/>
    <w:rsid w:val="00F34404"/>
    <w:rsid w:val="00F35060"/>
    <w:rsid w:val="00F35939"/>
    <w:rsid w:val="00F359BE"/>
    <w:rsid w:val="00F360CA"/>
    <w:rsid w:val="00F36CDF"/>
    <w:rsid w:val="00F3715D"/>
    <w:rsid w:val="00F37714"/>
    <w:rsid w:val="00F405AE"/>
    <w:rsid w:val="00F4075E"/>
    <w:rsid w:val="00F40DAE"/>
    <w:rsid w:val="00F420C8"/>
    <w:rsid w:val="00F424C2"/>
    <w:rsid w:val="00F42A4C"/>
    <w:rsid w:val="00F43184"/>
    <w:rsid w:val="00F44124"/>
    <w:rsid w:val="00F46872"/>
    <w:rsid w:val="00F47DAE"/>
    <w:rsid w:val="00F50728"/>
    <w:rsid w:val="00F55034"/>
    <w:rsid w:val="00F55647"/>
    <w:rsid w:val="00F604DE"/>
    <w:rsid w:val="00F668D2"/>
    <w:rsid w:val="00F72A16"/>
    <w:rsid w:val="00F7411E"/>
    <w:rsid w:val="00F75F97"/>
    <w:rsid w:val="00F80D2E"/>
    <w:rsid w:val="00F87DA4"/>
    <w:rsid w:val="00F93182"/>
    <w:rsid w:val="00F938F2"/>
    <w:rsid w:val="00F93B7A"/>
    <w:rsid w:val="00F941AD"/>
    <w:rsid w:val="00F95788"/>
    <w:rsid w:val="00F9666C"/>
    <w:rsid w:val="00FA09CD"/>
    <w:rsid w:val="00FA19A8"/>
    <w:rsid w:val="00FA225E"/>
    <w:rsid w:val="00FA379F"/>
    <w:rsid w:val="00FA5726"/>
    <w:rsid w:val="00FB07C2"/>
    <w:rsid w:val="00FB115D"/>
    <w:rsid w:val="00FB33D7"/>
    <w:rsid w:val="00FB4357"/>
    <w:rsid w:val="00FB54AB"/>
    <w:rsid w:val="00FB7512"/>
    <w:rsid w:val="00FC0442"/>
    <w:rsid w:val="00FC0D83"/>
    <w:rsid w:val="00FC12DC"/>
    <w:rsid w:val="00FC177D"/>
    <w:rsid w:val="00FC2ED7"/>
    <w:rsid w:val="00FC3B00"/>
    <w:rsid w:val="00FC500C"/>
    <w:rsid w:val="00FC5302"/>
    <w:rsid w:val="00FC7990"/>
    <w:rsid w:val="00FD22F2"/>
    <w:rsid w:val="00FD3738"/>
    <w:rsid w:val="00FD4FB8"/>
    <w:rsid w:val="00FD5B4C"/>
    <w:rsid w:val="00FD7547"/>
    <w:rsid w:val="00FD7F49"/>
    <w:rsid w:val="00FE0A02"/>
    <w:rsid w:val="00FE23A6"/>
    <w:rsid w:val="00FE2C25"/>
    <w:rsid w:val="00FE5097"/>
    <w:rsid w:val="00FE593F"/>
    <w:rsid w:val="00FE658B"/>
    <w:rsid w:val="00FE6EA8"/>
    <w:rsid w:val="00FE7827"/>
    <w:rsid w:val="00FF242D"/>
    <w:rsid w:val="00FF5D77"/>
    <w:rsid w:val="00FF5F5C"/>
    <w:rsid w:val="00FF6511"/>
    <w:rsid w:val="00FF6EBF"/>
    <w:rsid w:val="08FFC601"/>
    <w:rsid w:val="4346406F"/>
    <w:rsid w:val="6663AD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F6B4F"/>
    <w:pPr>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9925D0"/>
    <w:pPr>
      <w:keepNext/>
      <w:spacing w:before="240" w:after="240"/>
      <w:ind w:left="567" w:hanging="567"/>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F6B4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9925D0"/>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C77E95"/>
    <w:pPr>
      <w:spacing w:before="120" w:after="120"/>
    </w:pPr>
    <w:rPr>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FSFootnote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 w:type="paragraph" w:styleId="Revision">
    <w:name w:val="Revision"/>
    <w:hidden/>
    <w:uiPriority w:val="99"/>
    <w:semiHidden/>
    <w:rsid w:val="00D07D3F"/>
    <w:rPr>
      <w:rFonts w:ascii="Arial" w:hAnsi="Arial"/>
      <w:sz w:val="22"/>
      <w:szCs w:val="24"/>
      <w:lang w:eastAsia="en-US" w:bidi="en-US"/>
    </w:rPr>
  </w:style>
  <w:style w:type="character" w:styleId="PlaceholderText">
    <w:name w:val="Placeholder Text"/>
    <w:basedOn w:val="DefaultParagraphFont"/>
    <w:uiPriority w:val="99"/>
    <w:semiHidden/>
    <w:rsid w:val="0075130A"/>
    <w:rPr>
      <w:color w:val="808080"/>
    </w:rPr>
  </w:style>
  <w:style w:type="paragraph" w:customStyle="1" w:styleId="Default">
    <w:name w:val="Default"/>
    <w:rsid w:val="00B618B9"/>
    <w:pPr>
      <w:autoSpaceDE w:val="0"/>
      <w:autoSpaceDN w:val="0"/>
      <w:adjustRightInd w:val="0"/>
    </w:pPr>
    <w:rPr>
      <w:rFonts w:ascii="Times New Roman" w:eastAsiaTheme="minorEastAsia" w:hAnsi="Times New Roman"/>
      <w:color w:val="000000"/>
      <w:sz w:val="24"/>
      <w:szCs w:val="24"/>
      <w:lang w:eastAsia="zh-CN"/>
    </w:rPr>
  </w:style>
  <w:style w:type="table" w:customStyle="1" w:styleId="TableGrid31">
    <w:name w:val="Table Grid31"/>
    <w:basedOn w:val="TableNormal"/>
    <w:next w:val="TableGrid"/>
    <w:uiPriority w:val="59"/>
    <w:rsid w:val="00C17B7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42">
    <w:name w:val="Table Classic 42"/>
    <w:basedOn w:val="TableNormal"/>
    <w:rsid w:val="00450631"/>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599673056">
      <w:bodyDiv w:val="1"/>
      <w:marLeft w:val="0"/>
      <w:marRight w:val="0"/>
      <w:marTop w:val="0"/>
      <w:marBottom w:val="0"/>
      <w:divBdr>
        <w:top w:val="none" w:sz="0" w:space="0" w:color="auto"/>
        <w:left w:val="none" w:sz="0" w:space="0" w:color="auto"/>
        <w:bottom w:val="none" w:sz="0" w:space="0" w:color="auto"/>
        <w:right w:val="none" w:sz="0" w:space="0" w:color="auto"/>
      </w:divBdr>
      <w:divsChild>
        <w:div w:id="234320880">
          <w:marLeft w:val="0"/>
          <w:marRight w:val="0"/>
          <w:marTop w:val="0"/>
          <w:marBottom w:val="0"/>
          <w:divBdr>
            <w:top w:val="none" w:sz="0" w:space="0" w:color="auto"/>
            <w:left w:val="none" w:sz="0" w:space="0" w:color="auto"/>
            <w:bottom w:val="none" w:sz="0" w:space="0" w:color="auto"/>
            <w:right w:val="none" w:sz="0" w:space="0" w:color="auto"/>
          </w:divBdr>
          <w:divsChild>
            <w:div w:id="710803553">
              <w:marLeft w:val="0"/>
              <w:marRight w:val="0"/>
              <w:marTop w:val="0"/>
              <w:marBottom w:val="0"/>
              <w:divBdr>
                <w:top w:val="none" w:sz="0" w:space="0" w:color="auto"/>
                <w:left w:val="none" w:sz="0" w:space="0" w:color="auto"/>
                <w:bottom w:val="none" w:sz="0" w:space="0" w:color="auto"/>
                <w:right w:val="none" w:sz="0" w:space="0" w:color="auto"/>
              </w:divBdr>
              <w:divsChild>
                <w:div w:id="1879122317">
                  <w:marLeft w:val="0"/>
                  <w:marRight w:val="0"/>
                  <w:marTop w:val="0"/>
                  <w:marBottom w:val="0"/>
                  <w:divBdr>
                    <w:top w:val="none" w:sz="0" w:space="0" w:color="auto"/>
                    <w:left w:val="none" w:sz="0" w:space="0" w:color="auto"/>
                    <w:bottom w:val="none" w:sz="0" w:space="0" w:color="auto"/>
                    <w:right w:val="none" w:sz="0" w:space="0" w:color="auto"/>
                  </w:divBdr>
                  <w:divsChild>
                    <w:div w:id="1509366849">
                      <w:marLeft w:val="0"/>
                      <w:marRight w:val="0"/>
                      <w:marTop w:val="0"/>
                      <w:marBottom w:val="0"/>
                      <w:divBdr>
                        <w:top w:val="none" w:sz="0" w:space="0" w:color="auto"/>
                        <w:left w:val="none" w:sz="0" w:space="0" w:color="auto"/>
                        <w:bottom w:val="none" w:sz="0" w:space="0" w:color="auto"/>
                        <w:right w:val="none" w:sz="0" w:space="0" w:color="auto"/>
                      </w:divBdr>
                      <w:divsChild>
                        <w:div w:id="1003239997">
                          <w:marLeft w:val="0"/>
                          <w:marRight w:val="0"/>
                          <w:marTop w:val="0"/>
                          <w:marBottom w:val="0"/>
                          <w:divBdr>
                            <w:top w:val="none" w:sz="0" w:space="0" w:color="auto"/>
                            <w:left w:val="none" w:sz="0" w:space="0" w:color="auto"/>
                            <w:bottom w:val="none" w:sz="0" w:space="0" w:color="auto"/>
                            <w:right w:val="none" w:sz="0" w:space="0" w:color="auto"/>
                          </w:divBdr>
                          <w:divsChild>
                            <w:div w:id="1303585559">
                              <w:marLeft w:val="0"/>
                              <w:marRight w:val="0"/>
                              <w:marTop w:val="0"/>
                              <w:marBottom w:val="0"/>
                              <w:divBdr>
                                <w:top w:val="none" w:sz="0" w:space="0" w:color="auto"/>
                                <w:left w:val="none" w:sz="0" w:space="0" w:color="auto"/>
                                <w:bottom w:val="none" w:sz="0" w:space="0" w:color="auto"/>
                                <w:right w:val="none" w:sz="0" w:space="0" w:color="auto"/>
                              </w:divBdr>
                              <w:divsChild>
                                <w:div w:id="1503005982">
                                  <w:marLeft w:val="-225"/>
                                  <w:marRight w:val="-225"/>
                                  <w:marTop w:val="0"/>
                                  <w:marBottom w:val="0"/>
                                  <w:divBdr>
                                    <w:top w:val="none" w:sz="0" w:space="0" w:color="auto"/>
                                    <w:left w:val="none" w:sz="0" w:space="0" w:color="auto"/>
                                    <w:bottom w:val="none" w:sz="0" w:space="0" w:color="auto"/>
                                    <w:right w:val="none" w:sz="0" w:space="0" w:color="auto"/>
                                  </w:divBdr>
                                  <w:divsChild>
                                    <w:div w:id="65495032">
                                      <w:marLeft w:val="0"/>
                                      <w:marRight w:val="0"/>
                                      <w:marTop w:val="0"/>
                                      <w:marBottom w:val="0"/>
                                      <w:divBdr>
                                        <w:top w:val="none" w:sz="0" w:space="0" w:color="auto"/>
                                        <w:left w:val="none" w:sz="0" w:space="0" w:color="auto"/>
                                        <w:bottom w:val="none" w:sz="0" w:space="0" w:color="auto"/>
                                        <w:right w:val="none" w:sz="0" w:space="0" w:color="auto"/>
                                      </w:divBdr>
                                      <w:divsChild>
                                        <w:div w:id="1727794117">
                                          <w:marLeft w:val="0"/>
                                          <w:marRight w:val="0"/>
                                          <w:marTop w:val="0"/>
                                          <w:marBottom w:val="0"/>
                                          <w:divBdr>
                                            <w:top w:val="none" w:sz="0" w:space="0" w:color="auto"/>
                                            <w:left w:val="none" w:sz="0" w:space="0" w:color="auto"/>
                                            <w:bottom w:val="none" w:sz="0" w:space="0" w:color="auto"/>
                                            <w:right w:val="none" w:sz="0" w:space="0" w:color="auto"/>
                                          </w:divBdr>
                                          <w:divsChild>
                                            <w:div w:id="1245147060">
                                              <w:marLeft w:val="-225"/>
                                              <w:marRight w:val="-225"/>
                                              <w:marTop w:val="0"/>
                                              <w:marBottom w:val="0"/>
                                              <w:divBdr>
                                                <w:top w:val="none" w:sz="0" w:space="0" w:color="auto"/>
                                                <w:left w:val="none" w:sz="0" w:space="0" w:color="auto"/>
                                                <w:bottom w:val="none" w:sz="0" w:space="0" w:color="auto"/>
                                                <w:right w:val="none" w:sz="0" w:space="0" w:color="auto"/>
                                              </w:divBdr>
                                              <w:divsChild>
                                                <w:div w:id="251820326">
                                                  <w:marLeft w:val="0"/>
                                                  <w:marRight w:val="0"/>
                                                  <w:marTop w:val="0"/>
                                                  <w:marBottom w:val="0"/>
                                                  <w:divBdr>
                                                    <w:top w:val="none" w:sz="0" w:space="0" w:color="auto"/>
                                                    <w:left w:val="none" w:sz="0" w:space="0" w:color="auto"/>
                                                    <w:bottom w:val="none" w:sz="0" w:space="0" w:color="auto"/>
                                                    <w:right w:val="none" w:sz="0" w:space="0" w:color="auto"/>
                                                  </w:divBdr>
                                                  <w:divsChild>
                                                    <w:div w:id="1283002706">
                                                      <w:marLeft w:val="0"/>
                                                      <w:marRight w:val="0"/>
                                                      <w:marTop w:val="0"/>
                                                      <w:marBottom w:val="270"/>
                                                      <w:divBdr>
                                                        <w:top w:val="none" w:sz="0" w:space="0" w:color="auto"/>
                                                        <w:left w:val="none" w:sz="0" w:space="0" w:color="auto"/>
                                                        <w:bottom w:val="none" w:sz="0" w:space="0" w:color="auto"/>
                                                        <w:right w:val="none" w:sz="0" w:space="0" w:color="auto"/>
                                                      </w:divBdr>
                                                      <w:divsChild>
                                                        <w:div w:id="1490093352">
                                                          <w:marLeft w:val="0"/>
                                                          <w:marRight w:val="0"/>
                                                          <w:marTop w:val="0"/>
                                                          <w:marBottom w:val="0"/>
                                                          <w:divBdr>
                                                            <w:top w:val="none" w:sz="0" w:space="0" w:color="auto"/>
                                                            <w:left w:val="none" w:sz="0" w:space="0" w:color="auto"/>
                                                            <w:bottom w:val="none" w:sz="0" w:space="0" w:color="auto"/>
                                                            <w:right w:val="none" w:sz="0" w:space="0" w:color="auto"/>
                                                          </w:divBdr>
                                                          <w:divsChild>
                                                            <w:div w:id="1720592035">
                                                              <w:marLeft w:val="0"/>
                                                              <w:marRight w:val="0"/>
                                                              <w:marTop w:val="225"/>
                                                              <w:marBottom w:val="225"/>
                                                              <w:divBdr>
                                                                <w:top w:val="none" w:sz="0" w:space="0" w:color="auto"/>
                                                                <w:left w:val="none" w:sz="0" w:space="0" w:color="auto"/>
                                                                <w:bottom w:val="none" w:sz="0" w:space="0" w:color="auto"/>
                                                                <w:right w:val="none" w:sz="0" w:space="0" w:color="auto"/>
                                                              </w:divBdr>
                                                              <w:divsChild>
                                                                <w:div w:id="17668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672153">
      <w:bodyDiv w:val="1"/>
      <w:marLeft w:val="0"/>
      <w:marRight w:val="0"/>
      <w:marTop w:val="0"/>
      <w:marBottom w:val="0"/>
      <w:divBdr>
        <w:top w:val="none" w:sz="0" w:space="0" w:color="auto"/>
        <w:left w:val="none" w:sz="0" w:space="0" w:color="auto"/>
        <w:bottom w:val="none" w:sz="0" w:space="0" w:color="auto"/>
        <w:right w:val="none" w:sz="0" w:space="0" w:color="auto"/>
      </w:divBdr>
      <w:divsChild>
        <w:div w:id="424231870">
          <w:marLeft w:val="0"/>
          <w:marRight w:val="0"/>
          <w:marTop w:val="0"/>
          <w:marBottom w:val="0"/>
          <w:divBdr>
            <w:top w:val="none" w:sz="0" w:space="0" w:color="auto"/>
            <w:left w:val="none" w:sz="0" w:space="0" w:color="auto"/>
            <w:bottom w:val="none" w:sz="0" w:space="0" w:color="auto"/>
            <w:right w:val="none" w:sz="0" w:space="0" w:color="auto"/>
          </w:divBdr>
          <w:divsChild>
            <w:div w:id="17113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692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foodstandards.gov.au/code/applications/Documents/A1164%20Approval%20report.pdf" TargetMode="External"/><Relationship Id="rId26" Type="http://schemas.openxmlformats.org/officeDocument/2006/relationships/hyperlink" Target="https://www.fao.org/3/a0675e/a0675e.pdf" TargetMode="External"/><Relationship Id="rId3" Type="http://schemas.openxmlformats.org/officeDocument/2006/relationships/customXml" Target="../customXml/item3.xml"/><Relationship Id="rId21" Type="http://schemas.openxmlformats.org/officeDocument/2006/relationships/hyperlink" Target="https://www.fda.gov/media/104570/downloa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oodstandards.gov.au/code/applications/Documents/A1211%20Approval%20Report.pdf" TargetMode="External"/><Relationship Id="rId25" Type="http://schemas.openxmlformats.org/officeDocument/2006/relationships/hyperlink" Target="https://www.epa.gov/sites/production/files/2015-09/documents/fra005.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da.gov/food/gras-notice-inventory/agency-response-letter-gras-notice-no-grn-0005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llergenonline.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uniprot.org/program/Toxin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foodstandards.gov.au/code/applications/Documents/A1050%20Acyltransferase%20as%20a%20PA%20AR%20FINAL.pdf" TargetMode="External"/><Relationship Id="rId27" Type="http://schemas.openxmlformats.org/officeDocument/2006/relationships/hyperlink" Target="https://iubmb.qmul.ac.uk/enzyme/EC3/2/1/1.html" TargetMode="Externa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unipro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program/Toxins" TargetMode="External"/><Relationship Id="rId2" Type="http://schemas.openxmlformats.org/officeDocument/2006/relationships/hyperlink" Target="https://www.uniprot.org/" TargetMode="External"/><Relationship Id="rId1" Type="http://schemas.openxmlformats.org/officeDocument/2006/relationships/hyperlink" Target="https://www.brenda-enzymes.org/" TargetMode="External"/><Relationship Id="rId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ACE19D9A100FF44CB20AAD9F91CFDC21" ma:contentTypeVersion="4" ma:contentTypeDescription="Files created by FSANZ including letters, draft documents and ideas for FSANZ business." ma:contentTypeScope="" ma:versionID="2ef5372748d74e03fb17c5e8dff3a0ae">
  <xsd:schema xmlns:xsd="http://www.w3.org/2001/XMLSchema" xmlns:xs="http://www.w3.org/2001/XMLSchema" xmlns:p="http://schemas.microsoft.com/office/2006/metadata/properties" xmlns:ns2="0e0bee33-077a-46d4-80d5-abd1b3a3b85b" targetNamespace="http://schemas.microsoft.com/office/2006/metadata/properties" ma:root="true" ma:fieldsID="e7ec34797c12a77d2c02101ae3208000"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2f79ab-15e6-4ac3-aec4-a845a3ee0b32}" ma:internalName="TaxCatchAll" ma:showField="CatchAllData"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62f79ab-15e6-4ac3-aec4-a845a3ee0b32}" ma:internalName="TaxCatchAllLabel" ma:readOnly="true" ma:showField="CatchAllDataLabel"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4E98551D-4A2D-4188-8E04-33915589728A}"/>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C882F2B3-974F-4315-9ED9-0369F9C6D66C}"/>
</file>

<file path=customXml/itemProps4.xml><?xml version="1.0" encoding="utf-8"?>
<ds:datastoreItem xmlns:ds="http://schemas.openxmlformats.org/officeDocument/2006/customXml" ds:itemID="{9E78AED7-2093-4C12-9100-EA820401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2AAD73-8929-4D67-84AA-F18CD97B06A4}"/>
</file>

<file path=customXml/itemProps6.xml><?xml version="1.0" encoding="utf-8"?>
<ds:datastoreItem xmlns:ds="http://schemas.openxmlformats.org/officeDocument/2006/customXml" ds:itemID="{ABC8F4EC-1346-43F0-925B-461D913F95BF}"/>
</file>

<file path=docProps/app.xml><?xml version="1.0" encoding="utf-8"?>
<Properties xmlns="http://schemas.openxmlformats.org/officeDocument/2006/extended-properties" xmlns:vt="http://schemas.openxmlformats.org/officeDocument/2006/docPropsVTypes">
  <Template>Normal</Template>
  <TotalTime>0</TotalTime>
  <Pages>15</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A1219 SD1</vt:lpstr>
    </vt:vector>
  </TitlesOfParts>
  <Company>ANZFA</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A1219 SD1</dc:title>
  <dc:subject/>
  <dc:creator>trevil</dc:creator>
  <cp:keywords/>
  <dc:description/>
  <cp:lastModifiedBy>Tailee Vecchi</cp:lastModifiedBy>
  <cp:revision>2</cp:revision>
  <cp:lastPrinted>2019-10-27T22:00:00Z</cp:lastPrinted>
  <dcterms:created xsi:type="dcterms:W3CDTF">2022-06-15T01:32:00Z</dcterms:created>
  <dcterms:modified xsi:type="dcterms:W3CDTF">2022-06-15T01:32:00Z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67797529-311d-4502-b6cb-debd475db85c</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fa967ccd-74c9-4255-9a23-245fbe9ab4f7</vt:lpwstr>
  </property>
  <property fmtid="{D5CDD505-2E9C-101B-9397-08002B2CF9AE}" pid="8" name="RecordPoint_WorkflowType">
    <vt:lpwstr>ActiveSubmitStub</vt:lpwstr>
  </property>
  <property fmtid="{D5CDD505-2E9C-101B-9397-08002B2CF9AE}" pid="9" name="RecordPoint_ActiveItemListId">
    <vt:lpwstr>{d6c23955-09d1-4686-b868-0482175bf2fb}</vt:lpwstr>
  </property>
  <property fmtid="{D5CDD505-2E9C-101B-9397-08002B2CF9AE}" pid="10" name="RecordPoint_ActiveItemUniqueId">
    <vt:lpwstr>{fa967ccd-74c9-4255-9a23-245fbe9ab4f7}</vt:lpwstr>
  </property>
  <property fmtid="{D5CDD505-2E9C-101B-9397-08002B2CF9AE}" pid="11" name="RecordPoint_ActiveItemWebId">
    <vt:lpwstr>{897376c6-b6aa-4241-a354-c40e7fa601b4}</vt:lpwstr>
  </property>
  <property fmtid="{D5CDD505-2E9C-101B-9397-08002B2CF9AE}" pid="12" name="RecordPoint_ActiveItemSiteId">
    <vt:lpwstr>{dd95a578-5c6a-4f11-92f7-f95884d628d6}</vt:lpwstr>
  </property>
  <property fmtid="{D5CDD505-2E9C-101B-9397-08002B2CF9AE}" pid="13" name="RecordPoint_RecordNumberSubmitted">
    <vt:lpwstr>R0000206213</vt:lpwstr>
  </property>
  <property fmtid="{D5CDD505-2E9C-101B-9397-08002B2CF9AE}" pid="14" name="RecordPoint_SubmissionCompleted">
    <vt:lpwstr>2022-05-09T15:40:06.4694245+10:00</vt:lpwstr>
  </property>
  <property fmtid="{D5CDD505-2E9C-101B-9397-08002B2CF9AE}" pid="15" name="a41428b017d04df981d58ffdf035d7b8">
    <vt:lpwstr/>
  </property>
  <property fmtid="{D5CDD505-2E9C-101B-9397-08002B2CF9AE}" pid="16" name="bjClsUserRVM">
    <vt:lpwstr>[]</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pd3a3559ef84480a8025c4c7bb6e6dee">
    <vt:lpwstr/>
  </property>
  <property fmtid="{D5CDD505-2E9C-101B-9397-08002B2CF9AE}" pid="21" name="h46016694f704d158a57d0b5238c000e">
    <vt:lpwstr/>
  </property>
  <property fmtid="{D5CDD505-2E9C-101B-9397-08002B2CF9AE}" pid="22" name="Data_x0020_Privacy">
    <vt:lpwstr/>
  </property>
  <property fmtid="{D5CDD505-2E9C-101B-9397-08002B2CF9AE}" pid="23" name="Data Privacy">
    <vt:lpwstr/>
  </property>
  <property fmtid="{D5CDD505-2E9C-101B-9397-08002B2CF9AE}" pid="24" name="Data Accessibility">
    <vt:lpwstr/>
  </property>
  <property fmtid="{D5CDD505-2E9C-101B-9397-08002B2CF9AE}" pid="25" name="BCS">
    <vt:lpwstr>2;#Evaluation|43cb9915-dbd2-4e45-b39d-7bc5c58c72da</vt:lpwstr>
  </property>
  <property fmtid="{D5CDD505-2E9C-101B-9397-08002B2CF9AE}" pid="26" name="Access">
    <vt:lpwstr/>
  </property>
  <property fmtid="{D5CDD505-2E9C-101B-9397-08002B2CF9AE}" pid="27" name="Classification">
    <vt:lpwstr>1;#OFFICIAL|3776503d-ed4e-4d70-8dfd-8e17b238523b</vt:lpwstr>
  </property>
  <property fmtid="{D5CDD505-2E9C-101B-9397-08002B2CF9AE}" pid="28" name="Data_x0020_Category">
    <vt:lpwstr/>
  </property>
  <property fmtid="{D5CDD505-2E9C-101B-9397-08002B2CF9AE}" pid="29" name="Data_x0020_Accessibility">
    <vt:lpwstr/>
  </property>
  <property fmtid="{D5CDD505-2E9C-101B-9397-08002B2CF9AE}" pid="30" name="o2e94e0b7bb742308b3aec7384781dc0">
    <vt:lpwstr/>
  </property>
  <property fmtid="{D5CDD505-2E9C-101B-9397-08002B2CF9AE}" pid="31" name="Data Category">
    <vt:lpwstr/>
  </property>
  <property fmtid="{D5CDD505-2E9C-101B-9397-08002B2CF9AE}" pid="32"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33" name="bjDocumentLabelXML-0">
    <vt:lpwstr>ames.com/2008/01/sie/internal/label"&gt;&lt;element uid="66ddac19-06c4-4e63-b4dd-d8240d87a23f" value="" /&gt;&lt;/sisl&gt;</vt:lpwstr>
  </property>
  <property fmtid="{D5CDD505-2E9C-101B-9397-08002B2CF9AE}" pid="34" name="bjDocumentSecurityLabel">
    <vt:lpwstr>NO SECURITY CLASSIFICATION REQUIRED</vt:lpwstr>
  </property>
</Properties>
</file>